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6177B0">
      <w:pPr>
        <w:widowControl w:val="0"/>
        <w:autoSpaceDE w:val="0"/>
        <w:autoSpaceDN w:val="0"/>
        <w:adjustRightInd w:val="0"/>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w:t>
      </w:r>
      <w:proofErr w:type="spellStart"/>
      <w:r w:rsidRPr="00FF5FEA">
        <w:rPr>
          <w:b/>
          <w:bCs/>
          <w:sz w:val="20"/>
          <w:szCs w:val="20"/>
        </w:rPr>
        <w:t>spr</w:t>
      </w:r>
      <w:proofErr w:type="spellEnd"/>
      <w:r w:rsidRPr="00FF5FEA">
        <w:rPr>
          <w:b/>
          <w:bCs/>
          <w:sz w:val="20"/>
          <w:szCs w:val="20"/>
        </w:rPr>
        <w:t xml:space="preserve">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8168FD"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D920E2">
        <w:rPr>
          <w:sz w:val="20"/>
          <w:szCs w:val="20"/>
          <w:lang w:val="en-US"/>
        </w:rPr>
        <w:t xml:space="preserve"> </w:t>
      </w:r>
      <w:r w:rsidR="006F4D0E">
        <w:rPr>
          <w:b/>
          <w:bCs/>
        </w:rPr>
        <w:t>Znak sprawy: DZP-271-</w:t>
      </w:r>
      <w:r w:rsidR="00955AA6">
        <w:rPr>
          <w:b/>
          <w:bCs/>
        </w:rPr>
        <w:t>24/</w:t>
      </w:r>
      <w:r w:rsidR="006F4D0E">
        <w:rPr>
          <w:b/>
          <w:bCs/>
        </w:rPr>
        <w:t>19</w:t>
      </w:r>
      <w:r w:rsidR="006F4D0E">
        <w:rPr>
          <w:b/>
          <w:bCs/>
        </w:rPr>
        <w:tab/>
        <w:t xml:space="preserve">  </w:t>
      </w:r>
      <w:r w:rsidR="006F4D0E">
        <w:rPr>
          <w:b/>
          <w:bCs/>
        </w:rPr>
        <w:tab/>
      </w:r>
      <w:r w:rsidR="006F4D0E">
        <w:rPr>
          <w:b/>
          <w:bCs/>
        </w:rPr>
        <w:tab/>
      </w:r>
      <w:r w:rsidR="006F4D0E">
        <w:rPr>
          <w:b/>
          <w:bCs/>
        </w:rPr>
        <w:tab/>
      </w:r>
      <w:r w:rsidR="006F4D0E">
        <w:rPr>
          <w:b/>
          <w:bCs/>
        </w:rPr>
        <w:tab/>
      </w:r>
      <w:r w:rsidR="006F4D0E">
        <w:rPr>
          <w:b/>
          <w:bCs/>
        </w:rPr>
        <w:tab/>
        <w:t xml:space="preserve">       Brzesko 12.04.2019 r.</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Pr="006F4D0E" w:rsidRDefault="006F4D0E" w:rsidP="006F4D0E">
      <w:pPr>
        <w:widowControl w:val="0"/>
        <w:tabs>
          <w:tab w:val="left" w:pos="2400"/>
        </w:tabs>
        <w:autoSpaceDE w:val="0"/>
        <w:autoSpaceDN w:val="0"/>
        <w:adjustRightInd w:val="0"/>
        <w:ind w:left="1320" w:hanging="1320"/>
        <w:jc w:val="center"/>
        <w:rPr>
          <w:bCs/>
          <w:sz w:val="28"/>
          <w:szCs w:val="28"/>
        </w:rPr>
      </w:pPr>
      <w:r w:rsidRPr="006F4D0E">
        <w:rPr>
          <w:bCs/>
          <w:sz w:val="28"/>
          <w:szCs w:val="28"/>
        </w:rPr>
        <w:t xml:space="preserve">na dostawę: </w:t>
      </w:r>
    </w:p>
    <w:p w:rsidR="006F4D0E" w:rsidRDefault="006F4D0E" w:rsidP="006F4D0E">
      <w:pPr>
        <w:widowControl w:val="0"/>
        <w:tabs>
          <w:tab w:val="left" w:pos="2400"/>
        </w:tabs>
        <w:autoSpaceDE w:val="0"/>
        <w:autoSpaceDN w:val="0"/>
        <w:adjustRightInd w:val="0"/>
        <w:ind w:left="1320" w:hanging="1320"/>
        <w:jc w:val="center"/>
        <w:rPr>
          <w:b/>
          <w:bCs/>
          <w:sz w:val="28"/>
          <w:szCs w:val="28"/>
        </w:rPr>
      </w:pPr>
      <w:r>
        <w:rPr>
          <w:b/>
          <w:bCs/>
          <w:sz w:val="28"/>
          <w:szCs w:val="28"/>
        </w:rPr>
        <w:t xml:space="preserve">Kolumn anestezjologicznych, chirurgiczno-laparoskopowych, </w:t>
      </w:r>
    </w:p>
    <w:p w:rsidR="006F4D0E" w:rsidRDefault="006F4D0E" w:rsidP="006F4D0E">
      <w:pPr>
        <w:widowControl w:val="0"/>
        <w:tabs>
          <w:tab w:val="left" w:pos="2400"/>
        </w:tabs>
        <w:autoSpaceDE w:val="0"/>
        <w:autoSpaceDN w:val="0"/>
        <w:adjustRightInd w:val="0"/>
        <w:ind w:left="1320" w:hanging="1320"/>
        <w:jc w:val="center"/>
        <w:rPr>
          <w:b/>
          <w:bCs/>
          <w:sz w:val="28"/>
          <w:szCs w:val="28"/>
        </w:rPr>
      </w:pPr>
      <w:r>
        <w:rPr>
          <w:b/>
          <w:bCs/>
          <w:sz w:val="28"/>
          <w:szCs w:val="28"/>
        </w:rPr>
        <w:t xml:space="preserve">panelu pionowego 1 -stanowiskowego (Kolumny pionowej), </w:t>
      </w:r>
    </w:p>
    <w:p w:rsidR="006F4D0E" w:rsidRDefault="006F4D0E" w:rsidP="006F4D0E">
      <w:pPr>
        <w:widowControl w:val="0"/>
        <w:tabs>
          <w:tab w:val="left" w:pos="2400"/>
        </w:tabs>
        <w:autoSpaceDE w:val="0"/>
        <w:autoSpaceDN w:val="0"/>
        <w:adjustRightInd w:val="0"/>
        <w:ind w:left="1320" w:hanging="1320"/>
        <w:jc w:val="center"/>
        <w:rPr>
          <w:b/>
          <w:bCs/>
          <w:sz w:val="28"/>
          <w:szCs w:val="28"/>
        </w:rPr>
      </w:pPr>
      <w:r>
        <w:rPr>
          <w:b/>
          <w:bCs/>
          <w:sz w:val="28"/>
          <w:szCs w:val="28"/>
        </w:rPr>
        <w:t>panelu naściennego dwu-stanowiskowego POP dł. 440 cm</w:t>
      </w:r>
      <w:r w:rsidR="003F2388">
        <w:rPr>
          <w:b/>
          <w:bCs/>
          <w:sz w:val="28"/>
          <w:szCs w:val="28"/>
        </w:rPr>
        <w:t>.</w:t>
      </w:r>
      <w:r>
        <w:rPr>
          <w:b/>
          <w:bCs/>
          <w:sz w:val="28"/>
          <w:szCs w:val="28"/>
        </w:rPr>
        <w:t xml:space="preserve"> </w:t>
      </w:r>
    </w:p>
    <w:p w:rsidR="006F4D0E" w:rsidRDefault="006F4D0E" w:rsidP="006F4D0E">
      <w:pPr>
        <w:rPr>
          <w:sz w:val="20"/>
          <w:szCs w:val="20"/>
        </w:rPr>
      </w:pPr>
    </w:p>
    <w:p w:rsidR="006F4D0E" w:rsidRDefault="006F4D0E" w:rsidP="006F4D0E"/>
    <w:p w:rsidR="006F4D0E" w:rsidRDefault="006F4D0E" w:rsidP="006F4D0E">
      <w:pPr>
        <w:numPr>
          <w:ilvl w:val="0"/>
          <w:numId w:val="1"/>
        </w:numPr>
        <w:rPr>
          <w:color w:val="000000"/>
        </w:rPr>
      </w:pPr>
      <w:r>
        <w:rPr>
          <w:color w:val="000000"/>
        </w:rPr>
        <w:t>Kod CPV: 33162100-4 Urządzenia używane na salach operacyjnych;</w:t>
      </w:r>
    </w:p>
    <w:p w:rsidR="006F4D0E" w:rsidRDefault="006F4D0E" w:rsidP="006F4D0E">
      <w:pPr>
        <w:numPr>
          <w:ilvl w:val="0"/>
          <w:numId w:val="1"/>
        </w:numPr>
        <w:rPr>
          <w:color w:val="000000"/>
        </w:rPr>
      </w:pPr>
      <w:r>
        <w:rPr>
          <w:color w:val="000000"/>
        </w:rPr>
        <w:t>Kod CPV: 33190000-8 Różne urządzenia i produkty medyczne.</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Pr="006F4D0E" w:rsidRDefault="006F4D0E" w:rsidP="006F4D0E">
      <w:pPr>
        <w:widowControl w:val="0"/>
        <w:tabs>
          <w:tab w:val="left" w:pos="2400"/>
        </w:tabs>
        <w:autoSpaceDE w:val="0"/>
        <w:autoSpaceDN w:val="0"/>
        <w:adjustRightInd w:val="0"/>
        <w:ind w:left="284" w:hanging="284"/>
        <w:rPr>
          <w:b/>
          <w:bCs/>
        </w:rPr>
      </w:pPr>
      <w:r w:rsidRPr="006F4D0E">
        <w:rPr>
          <w:bCs/>
        </w:rPr>
        <w:t xml:space="preserve">    </w:t>
      </w:r>
      <w:r w:rsidRPr="006F4D0E">
        <w:rPr>
          <w:b/>
          <w:bCs/>
        </w:rPr>
        <w:t>Kolumn anestezjologicznych</w:t>
      </w:r>
      <w:r>
        <w:rPr>
          <w:b/>
          <w:bCs/>
        </w:rPr>
        <w:t xml:space="preserve">, </w:t>
      </w:r>
      <w:r w:rsidRPr="006F4D0E">
        <w:rPr>
          <w:b/>
          <w:bCs/>
        </w:rPr>
        <w:t>chirurgiczno-laparoskopowych</w:t>
      </w:r>
      <w:r>
        <w:rPr>
          <w:b/>
          <w:bCs/>
        </w:rPr>
        <w:t>, p</w:t>
      </w:r>
      <w:r w:rsidRPr="006F4D0E">
        <w:rPr>
          <w:b/>
          <w:bCs/>
        </w:rPr>
        <w:t>anelu pionowego 1 -stanowiskowego (Kolumny pionowej)</w:t>
      </w:r>
      <w:r>
        <w:rPr>
          <w:b/>
          <w:bCs/>
        </w:rPr>
        <w:t>, p</w:t>
      </w:r>
      <w:r w:rsidRPr="006F4D0E">
        <w:rPr>
          <w:b/>
          <w:bCs/>
        </w:rPr>
        <w:t xml:space="preserve">anelu naściennego dwu-stanowiskowego POP dł. 440 cm </w:t>
      </w:r>
    </w:p>
    <w:p w:rsidR="006F4D0E" w:rsidRDefault="006F4D0E" w:rsidP="006F4D0E">
      <w:pPr>
        <w:ind w:left="142" w:hanging="142"/>
        <w:rPr>
          <w:b/>
          <w:bCs/>
          <w:sz w:val="28"/>
          <w:szCs w:val="28"/>
        </w:rPr>
      </w:pPr>
      <w:r>
        <w:rPr>
          <w:bCs/>
          <w:iCs/>
        </w:rPr>
        <w:t xml:space="preserve">    dla Samodzielnego Publicznego Zespołu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rPr>
          <w:b/>
        </w:rPr>
      </w:pPr>
      <w:bookmarkStart w:id="0" w:name="_Hlk504719007"/>
      <w:r>
        <w:rPr>
          <w:b/>
        </w:rPr>
        <w:t>1)</w:t>
      </w:r>
      <w:r>
        <w:rPr>
          <w:b/>
        </w:rPr>
        <w:tab/>
      </w:r>
      <w:r>
        <w:t xml:space="preserve">Przedmiotem zamówienia jest dostawa, instalacja i uruchomienie </w:t>
      </w:r>
      <w:bookmarkEnd w:id="0"/>
      <w:r w:rsidR="00955AA6">
        <w:t>poniższych urządzeń:</w:t>
      </w:r>
    </w:p>
    <w:p w:rsidR="006F4D0E" w:rsidRPr="006F4D0E" w:rsidRDefault="006F4D0E" w:rsidP="006F4D0E">
      <w:pPr>
        <w:widowControl w:val="0"/>
        <w:tabs>
          <w:tab w:val="left" w:pos="2400"/>
        </w:tabs>
        <w:autoSpaceDE w:val="0"/>
        <w:autoSpaceDN w:val="0"/>
        <w:adjustRightInd w:val="0"/>
        <w:ind w:left="1320" w:hanging="1320"/>
        <w:rPr>
          <w:b/>
          <w:bCs/>
        </w:rPr>
      </w:pPr>
      <w:r>
        <w:rPr>
          <w:b/>
          <w:bCs/>
          <w:color w:val="000000"/>
          <w:lang w:eastAsia="ar-SA"/>
        </w:rPr>
        <w:t xml:space="preserve">  </w:t>
      </w:r>
      <w:r w:rsidRPr="006F4D0E">
        <w:rPr>
          <w:bCs/>
        </w:rPr>
        <w:t xml:space="preserve">  1) </w:t>
      </w:r>
      <w:r w:rsidRPr="006F4D0E">
        <w:rPr>
          <w:b/>
          <w:bCs/>
        </w:rPr>
        <w:t>Kolumn</w:t>
      </w:r>
      <w:r w:rsidR="003F2388">
        <w:rPr>
          <w:b/>
          <w:bCs/>
        </w:rPr>
        <w:t>a</w:t>
      </w:r>
      <w:r w:rsidRPr="006F4D0E">
        <w:rPr>
          <w:b/>
          <w:bCs/>
        </w:rPr>
        <w:t xml:space="preserve"> anestezjologiczn</w:t>
      </w:r>
      <w:r w:rsidR="003F2388">
        <w:rPr>
          <w:b/>
          <w:bCs/>
        </w:rPr>
        <w:t>a</w:t>
      </w:r>
      <w:r w:rsidRPr="006F4D0E">
        <w:rPr>
          <w:b/>
          <w:bCs/>
        </w:rPr>
        <w:t xml:space="preserve"> – </w:t>
      </w:r>
      <w:proofErr w:type="spellStart"/>
      <w:r w:rsidRPr="006F4D0E">
        <w:rPr>
          <w:b/>
          <w:bCs/>
        </w:rPr>
        <w:t>kpl</w:t>
      </w:r>
      <w:proofErr w:type="spellEnd"/>
      <w:r w:rsidRPr="006F4D0E">
        <w:rPr>
          <w:b/>
          <w:bCs/>
        </w:rPr>
        <w:t xml:space="preserve"> 3;</w:t>
      </w:r>
    </w:p>
    <w:p w:rsidR="006F4D0E" w:rsidRPr="006F4D0E" w:rsidRDefault="006F4D0E" w:rsidP="006F4D0E">
      <w:pPr>
        <w:widowControl w:val="0"/>
        <w:tabs>
          <w:tab w:val="left" w:pos="2400"/>
        </w:tabs>
        <w:autoSpaceDE w:val="0"/>
        <w:autoSpaceDN w:val="0"/>
        <w:adjustRightInd w:val="0"/>
        <w:ind w:left="1320" w:hanging="1320"/>
        <w:rPr>
          <w:b/>
          <w:bCs/>
        </w:rPr>
      </w:pPr>
      <w:r w:rsidRPr="006F4D0E">
        <w:rPr>
          <w:bCs/>
        </w:rPr>
        <w:t xml:space="preserve">    2)</w:t>
      </w:r>
      <w:r w:rsidRPr="006F4D0E">
        <w:rPr>
          <w:b/>
          <w:bCs/>
        </w:rPr>
        <w:t xml:space="preserve"> Kolumn</w:t>
      </w:r>
      <w:r w:rsidR="003F2388">
        <w:rPr>
          <w:b/>
          <w:bCs/>
        </w:rPr>
        <w:t>a</w:t>
      </w:r>
      <w:r w:rsidRPr="006F4D0E">
        <w:rPr>
          <w:b/>
          <w:bCs/>
        </w:rPr>
        <w:t xml:space="preserve"> chirurgiczno-laparoskopow</w:t>
      </w:r>
      <w:r w:rsidR="003F2388">
        <w:rPr>
          <w:b/>
          <w:bCs/>
        </w:rPr>
        <w:t>a</w:t>
      </w:r>
      <w:r w:rsidRPr="006F4D0E">
        <w:rPr>
          <w:b/>
          <w:bCs/>
        </w:rPr>
        <w:t xml:space="preserve"> – </w:t>
      </w:r>
      <w:proofErr w:type="spellStart"/>
      <w:r w:rsidRPr="006F4D0E">
        <w:rPr>
          <w:b/>
          <w:bCs/>
        </w:rPr>
        <w:t>kpl</w:t>
      </w:r>
      <w:proofErr w:type="spellEnd"/>
      <w:r w:rsidRPr="006F4D0E">
        <w:rPr>
          <w:b/>
          <w:bCs/>
        </w:rPr>
        <w:t xml:space="preserve"> 3;</w:t>
      </w:r>
    </w:p>
    <w:p w:rsidR="006F4D0E" w:rsidRPr="006F4D0E" w:rsidRDefault="006F4D0E" w:rsidP="006F4D0E">
      <w:pPr>
        <w:widowControl w:val="0"/>
        <w:tabs>
          <w:tab w:val="left" w:pos="2400"/>
        </w:tabs>
        <w:autoSpaceDE w:val="0"/>
        <w:autoSpaceDN w:val="0"/>
        <w:adjustRightInd w:val="0"/>
        <w:ind w:left="1320" w:hanging="1320"/>
        <w:rPr>
          <w:b/>
          <w:bCs/>
        </w:rPr>
      </w:pPr>
      <w:r w:rsidRPr="006F4D0E">
        <w:rPr>
          <w:bCs/>
        </w:rPr>
        <w:t xml:space="preserve">    3) </w:t>
      </w:r>
      <w:r w:rsidRPr="006F4D0E">
        <w:rPr>
          <w:b/>
          <w:bCs/>
        </w:rPr>
        <w:t>Panel pionow</w:t>
      </w:r>
      <w:r w:rsidR="003F2388">
        <w:rPr>
          <w:b/>
          <w:bCs/>
        </w:rPr>
        <w:t>y</w:t>
      </w:r>
      <w:r w:rsidRPr="006F4D0E">
        <w:rPr>
          <w:b/>
          <w:bCs/>
        </w:rPr>
        <w:t xml:space="preserve"> 1 -stanowiskowego (Kolumn</w:t>
      </w:r>
      <w:r w:rsidR="003F2388">
        <w:rPr>
          <w:b/>
          <w:bCs/>
        </w:rPr>
        <w:t>a</w:t>
      </w:r>
      <w:r w:rsidRPr="006F4D0E">
        <w:rPr>
          <w:b/>
          <w:bCs/>
        </w:rPr>
        <w:t xml:space="preserve"> pionow</w:t>
      </w:r>
      <w:r w:rsidR="003F2388">
        <w:rPr>
          <w:b/>
          <w:bCs/>
        </w:rPr>
        <w:t>a</w:t>
      </w:r>
      <w:r w:rsidRPr="006F4D0E">
        <w:rPr>
          <w:b/>
          <w:bCs/>
        </w:rPr>
        <w:t xml:space="preserve">) – </w:t>
      </w:r>
      <w:proofErr w:type="spellStart"/>
      <w:r w:rsidRPr="006F4D0E">
        <w:rPr>
          <w:b/>
          <w:bCs/>
        </w:rPr>
        <w:t>kpl</w:t>
      </w:r>
      <w:proofErr w:type="spellEnd"/>
      <w:r w:rsidRPr="006F4D0E">
        <w:rPr>
          <w:b/>
          <w:bCs/>
        </w:rPr>
        <w:t xml:space="preserve"> 1; </w:t>
      </w:r>
    </w:p>
    <w:p w:rsidR="006F4D0E" w:rsidRPr="006F4D0E" w:rsidRDefault="006F4D0E" w:rsidP="006F4D0E">
      <w:pPr>
        <w:ind w:left="142"/>
        <w:rPr>
          <w:b/>
          <w:bCs/>
        </w:rPr>
      </w:pPr>
      <w:r w:rsidRPr="006F4D0E">
        <w:rPr>
          <w:b/>
          <w:bCs/>
        </w:rPr>
        <w:t xml:space="preserve"> </w:t>
      </w:r>
      <w:r w:rsidRPr="006F4D0E">
        <w:rPr>
          <w:bCs/>
        </w:rPr>
        <w:t xml:space="preserve">4) </w:t>
      </w:r>
      <w:r w:rsidRPr="006F4D0E">
        <w:rPr>
          <w:b/>
          <w:bCs/>
        </w:rPr>
        <w:t>Panel naścienn</w:t>
      </w:r>
      <w:r w:rsidR="003F2388">
        <w:rPr>
          <w:b/>
          <w:bCs/>
        </w:rPr>
        <w:t>y</w:t>
      </w:r>
      <w:r w:rsidRPr="006F4D0E">
        <w:rPr>
          <w:b/>
          <w:bCs/>
        </w:rPr>
        <w:t xml:space="preserve"> dwu-stanowiskow</w:t>
      </w:r>
      <w:r w:rsidR="003F2388">
        <w:rPr>
          <w:b/>
          <w:bCs/>
        </w:rPr>
        <w:t>y</w:t>
      </w:r>
      <w:r w:rsidRPr="006F4D0E">
        <w:rPr>
          <w:b/>
          <w:bCs/>
        </w:rPr>
        <w:t xml:space="preserve"> POP dł. 440 cm – </w:t>
      </w:r>
      <w:proofErr w:type="spellStart"/>
      <w:r w:rsidRPr="006F4D0E">
        <w:rPr>
          <w:b/>
          <w:bCs/>
        </w:rPr>
        <w:t>kpl</w:t>
      </w:r>
      <w:proofErr w:type="spellEnd"/>
      <w:r w:rsidRPr="006F4D0E">
        <w:rPr>
          <w:b/>
          <w:bCs/>
        </w:rPr>
        <w:t xml:space="preserve"> 1</w:t>
      </w:r>
    </w:p>
    <w:p w:rsidR="006F4D0E" w:rsidRDefault="006F4D0E" w:rsidP="006F4D0E">
      <w:pPr>
        <w:ind w:left="284" w:hanging="284"/>
        <w:jc w:val="both"/>
        <w:rPr>
          <w:b/>
          <w:bCs/>
          <w:color w:val="000000"/>
          <w:lang w:eastAsia="ar-SA"/>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3F2388">
      <w:pPr>
        <w:tabs>
          <w:tab w:val="left" w:pos="180"/>
        </w:tabs>
        <w:autoSpaceDE w:val="0"/>
        <w:autoSpaceDN w:val="0"/>
        <w:adjustRightInd w:val="0"/>
        <w:rPr>
          <w:b/>
          <w:bCs/>
        </w:rPr>
      </w:pPr>
      <w:r>
        <w:rPr>
          <w:b/>
          <w:bCs/>
        </w:rPr>
        <w:t xml:space="preserve">4.  1)Zamawiający nie dopuszcza składanie ofert częściowych. </w:t>
      </w:r>
    </w:p>
    <w:p w:rsidR="006F4D0E" w:rsidRDefault="00C86961" w:rsidP="006F4D0E">
      <w:pPr>
        <w:tabs>
          <w:tab w:val="left" w:pos="567"/>
        </w:tabs>
        <w:ind w:left="284"/>
        <w:rPr>
          <w:b/>
        </w:rPr>
      </w:pPr>
      <w:r>
        <w:rPr>
          <w:b/>
        </w:rPr>
        <w:t xml:space="preserve">      </w:t>
      </w:r>
      <w:r w:rsidR="006F4D0E">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86961">
        <w:rPr>
          <w:kern w:val="20"/>
        </w:rPr>
        <w:t>6</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Termin płatności:  do 40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lastRenderedPageBreak/>
              <w:t xml:space="preserve">                      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pPr>
              <w:widowControl w:val="0"/>
              <w:autoSpaceDE w:val="0"/>
              <w:autoSpaceDN w:val="0"/>
              <w:adjustRightInd w:val="0"/>
              <w:jc w:val="right"/>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
              <w:t xml:space="preserve">                      1                             </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pPr>
              <w:widowControl w:val="0"/>
              <w:autoSpaceDE w:val="0"/>
              <w:autoSpaceDN w:val="0"/>
              <w:adjustRightInd w:val="0"/>
              <w:jc w:val="center"/>
            </w:pPr>
          </w:p>
          <w:p w:rsidR="006F4D0E" w:rsidRDefault="006F4D0E">
            <w:pPr>
              <w:widowControl w:val="0"/>
              <w:autoSpaceDE w:val="0"/>
              <w:autoSpaceDN w:val="0"/>
              <w:adjustRightInd w:val="0"/>
            </w:pPr>
            <w:r>
              <w:t xml:space="preserve">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 xml:space="preserve">Katalogi, prospekty potwierdzające oferowane urządzenia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widowControl w:val="0"/>
              <w:autoSpaceDE w:val="0"/>
              <w:autoSpaceDN w:val="0"/>
              <w:adjustRightInd w:val="0"/>
              <w:ind w:left="90"/>
              <w:jc w:val="both"/>
            </w:pPr>
            <w:r>
              <w:t xml:space="preserve">Wykonawca </w:t>
            </w:r>
            <w:r w:rsidRPr="003F2388">
              <w:rPr>
                <w:b/>
                <w:u w:val="single"/>
              </w:rPr>
              <w:t>w terminie 3 dni</w:t>
            </w:r>
            <w:r>
              <w:t xml:space="preserve"> od dnia zamieszczenia na stronie internetowej informacji z otwarcia ofert jest zobowiązany przekazać Zamawiającemu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 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lastRenderedPageBreak/>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jeżeli wniosek o wyjaśnienie treści specyfikacji wpłynie  do zamawiającego po upływie terminu składania wniosku, o którym mowa w pkt.9.3) lub dotyczy udzielonych wyjaśnień, Zamawiający </w:t>
      </w:r>
      <w:r>
        <w:rPr>
          <w:color w:val="000000"/>
        </w:rPr>
        <w:lastRenderedPageBreak/>
        <w:t>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Default="006F4D0E" w:rsidP="006F4D0E">
      <w:pPr>
        <w:ind w:left="360" w:hanging="360"/>
      </w:pPr>
      <w:r>
        <w:rPr>
          <w:b/>
          <w:bCs/>
        </w:rPr>
        <w:t xml:space="preserve">   </w:t>
      </w:r>
      <w:r>
        <w:rPr>
          <w:b/>
          <w:bCs/>
          <w:color w:val="FF0000"/>
        </w:rPr>
        <w:t xml:space="preserve">   </w:t>
      </w:r>
      <w:r>
        <w:rPr>
          <w:b/>
          <w:bCs/>
        </w:rPr>
        <w:t xml:space="preserve">Każda oferta musi być zabezpieczona wadium w wysokości: 3 000,00 </w:t>
      </w:r>
      <w:r>
        <w:rPr>
          <w:b/>
        </w:rPr>
        <w:t>P LN za cały przedmiot zamówienia     (</w:t>
      </w:r>
      <w:r>
        <w:t>słownie: trzy tysiące złotych 00/100).</w:t>
      </w:r>
    </w:p>
    <w:p w:rsidR="006F4D0E" w:rsidRDefault="006F4D0E" w:rsidP="006F4D0E">
      <w:pPr>
        <w:ind w:left="567" w:hanging="425"/>
        <w:jc w:val="both"/>
      </w:pPr>
    </w:p>
    <w:p w:rsidR="006F4D0E" w:rsidRDefault="006F4D0E" w:rsidP="006F4D0E">
      <w:pPr>
        <w:widowControl w:val="0"/>
        <w:numPr>
          <w:ilvl w:val="0"/>
          <w:numId w:val="6"/>
        </w:numPr>
        <w:autoSpaceDE w:val="0"/>
        <w:autoSpaceDN w:val="0"/>
        <w:adjustRightInd w:val="0"/>
        <w:spacing w:line="360" w:lineRule="auto"/>
        <w:ind w:left="567" w:hanging="425"/>
        <w:jc w:val="both"/>
      </w:pPr>
      <w:r>
        <w:rPr>
          <w:b/>
        </w:rPr>
        <w:t>Dowód wniesienia wadium należy dołączyć do oferty.</w:t>
      </w:r>
    </w:p>
    <w:p w:rsidR="006F4D0E" w:rsidRDefault="006F4D0E" w:rsidP="006F4D0E">
      <w:pPr>
        <w:widowControl w:val="0"/>
        <w:numPr>
          <w:ilvl w:val="0"/>
          <w:numId w:val="6"/>
        </w:numPr>
        <w:autoSpaceDE w:val="0"/>
        <w:autoSpaceDN w:val="0"/>
        <w:adjustRightInd w:val="0"/>
        <w:spacing w:line="360" w:lineRule="auto"/>
        <w:ind w:left="567" w:hanging="425"/>
        <w:jc w:val="both"/>
      </w:pPr>
      <w:r>
        <w:t>W zależności od woli Wykonawcy, wadium może być wniesione w następujących formach:</w:t>
      </w:r>
    </w:p>
    <w:p w:rsidR="006F4D0E" w:rsidRDefault="006F4D0E" w:rsidP="006F4D0E">
      <w:pPr>
        <w:tabs>
          <w:tab w:val="left" w:pos="851"/>
        </w:tabs>
        <w:ind w:left="851" w:hanging="284"/>
        <w:jc w:val="both"/>
      </w:pPr>
      <w:r>
        <w:t>a)</w:t>
      </w:r>
      <w:r>
        <w:rPr>
          <w:b/>
        </w:rPr>
        <w:t xml:space="preserve"> w pieniądzu</w:t>
      </w:r>
      <w:r>
        <w:t xml:space="preserve"> - </w:t>
      </w:r>
      <w:r>
        <w:rPr>
          <w:b/>
        </w:rPr>
        <w:t>wadium wnoszone w pieniądzu należy wpłacić przelewem na rachunek bankowy  Zamawiającego najpóźniej przed upływem terminu wyznaczonego na składanie ofert;</w:t>
      </w:r>
    </w:p>
    <w:p w:rsidR="006F4D0E" w:rsidRDefault="006F4D0E" w:rsidP="006F4D0E">
      <w:pPr>
        <w:ind w:left="851" w:hanging="284"/>
        <w:jc w:val="both"/>
      </w:pPr>
      <w:r>
        <w:t xml:space="preserve">     w </w:t>
      </w:r>
      <w:r>
        <w:rPr>
          <w:b/>
          <w:bCs/>
        </w:rPr>
        <w:t xml:space="preserve">BOŚ S.A. O/Tarnów  08 1540 1203 2053 4286 3676 0001 </w:t>
      </w:r>
      <w:r>
        <w:t>(za datę wniesienia  wadium w pieniądzu uważa się datę wpływu pieniędzy na konto Zamawiającego),</w:t>
      </w:r>
    </w:p>
    <w:p w:rsidR="006F4D0E" w:rsidRDefault="006F4D0E" w:rsidP="006F4D0E">
      <w:pPr>
        <w:ind w:left="851" w:hanging="284"/>
        <w:jc w:val="both"/>
      </w:pPr>
      <w:r>
        <w:t xml:space="preserve">b) </w:t>
      </w:r>
      <w:r>
        <w:rPr>
          <w:b/>
        </w:rPr>
        <w:t>poręczeniach bankowych lub poręczeniach spółdzielczej kasy oszczędnościowo –  kredytowej</w:t>
      </w:r>
      <w:r>
        <w:t>, z tym że poręczenie kasy jest zawsze poręczeniem pieniężnym,</w:t>
      </w:r>
    </w:p>
    <w:p w:rsidR="006F4D0E" w:rsidRDefault="006F4D0E" w:rsidP="006F4D0E">
      <w:pPr>
        <w:tabs>
          <w:tab w:val="left" w:pos="851"/>
        </w:tabs>
        <w:ind w:left="851" w:hanging="284"/>
        <w:jc w:val="both"/>
        <w:rPr>
          <w:b/>
        </w:rPr>
      </w:pPr>
      <w:r>
        <w:t xml:space="preserve">c)  </w:t>
      </w:r>
      <w:r>
        <w:rPr>
          <w:b/>
        </w:rPr>
        <w:t xml:space="preserve">gwarancjach bankowych, </w:t>
      </w:r>
    </w:p>
    <w:p w:rsidR="006F4D0E" w:rsidRDefault="006F4D0E" w:rsidP="006F4D0E">
      <w:pPr>
        <w:widowControl w:val="0"/>
        <w:tabs>
          <w:tab w:val="left" w:pos="540"/>
          <w:tab w:val="left" w:pos="851"/>
        </w:tabs>
        <w:autoSpaceDE w:val="0"/>
        <w:autoSpaceDN w:val="0"/>
        <w:adjustRightInd w:val="0"/>
        <w:ind w:left="851" w:hanging="284"/>
        <w:jc w:val="both"/>
        <w:rPr>
          <w:b/>
        </w:rPr>
      </w:pPr>
      <w:r>
        <w:t>d)</w:t>
      </w:r>
      <w:r>
        <w:rPr>
          <w:b/>
        </w:rPr>
        <w:t xml:space="preserve">  gwarancjach ubezpieczeniowych,</w:t>
      </w:r>
    </w:p>
    <w:p w:rsidR="006F4D0E" w:rsidRDefault="006F4D0E" w:rsidP="006F4D0E">
      <w:pPr>
        <w:widowControl w:val="0"/>
        <w:tabs>
          <w:tab w:val="left" w:pos="851"/>
        </w:tabs>
        <w:autoSpaceDE w:val="0"/>
        <w:autoSpaceDN w:val="0"/>
        <w:adjustRightInd w:val="0"/>
        <w:ind w:left="851" w:hanging="284"/>
        <w:jc w:val="both"/>
      </w:pPr>
      <w:r>
        <w:t>e)</w:t>
      </w:r>
      <w:r>
        <w:rPr>
          <w:b/>
        </w:rPr>
        <w:t xml:space="preserve">  poręczeniach udzielanych przez podmioty, o których mowa w art.6b ust.5 pkt 2  ustawy z dnia 9 listopada 2000 r. o utworzeniu Polskiej Agencji Rozwoju Przedsiębiorczości </w:t>
      </w:r>
      <w:r>
        <w:t>(Dz.U. z 2019 r., poz. 310).</w:t>
      </w:r>
    </w:p>
    <w:p w:rsidR="006F4D0E" w:rsidRDefault="006F4D0E" w:rsidP="006F4D0E">
      <w:pPr>
        <w:widowControl w:val="0"/>
        <w:numPr>
          <w:ilvl w:val="0"/>
          <w:numId w:val="6"/>
        </w:numPr>
        <w:autoSpaceDE w:val="0"/>
        <w:autoSpaceDN w:val="0"/>
        <w:adjustRightInd w:val="0"/>
        <w:ind w:left="567" w:hanging="425"/>
        <w:jc w:val="both"/>
      </w:pPr>
      <w:r>
        <w:t>Wadium wnoszone w formie poręczeń lub gwarancji :</w:t>
      </w:r>
    </w:p>
    <w:p w:rsidR="006F4D0E" w:rsidRDefault="006F4D0E" w:rsidP="006F4D0E">
      <w:pPr>
        <w:widowControl w:val="0"/>
        <w:autoSpaceDE w:val="0"/>
        <w:autoSpaceDN w:val="0"/>
        <w:adjustRightInd w:val="0"/>
        <w:ind w:left="709" w:hanging="142"/>
        <w:jc w:val="both"/>
      </w:pPr>
      <w:r>
        <w:t xml:space="preserve">– powinno być złożone w oryginale, jako </w:t>
      </w:r>
      <w:proofErr w:type="spellStart"/>
      <w:r>
        <w:t>Benificjenta</w:t>
      </w:r>
      <w:proofErr w:type="spellEnd"/>
      <w:r>
        <w:t xml:space="preserve">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t>Pzp</w:t>
      </w:r>
      <w:proofErr w:type="spellEnd"/>
      <w:r>
        <w:t>;</w:t>
      </w:r>
    </w:p>
    <w:p w:rsidR="006F4D0E" w:rsidRDefault="006F4D0E" w:rsidP="006F4D0E">
      <w:pPr>
        <w:widowControl w:val="0"/>
        <w:autoSpaceDE w:val="0"/>
        <w:autoSpaceDN w:val="0"/>
        <w:adjustRightInd w:val="0"/>
        <w:ind w:left="709" w:hanging="142"/>
        <w:jc w:val="both"/>
      </w:pPr>
      <w:r>
        <w:t>-  musi zawierać w swojej treści nieodwołalne i bezwarunkowe zobowiązanie wystawcy dokumentu do zapłaty na rzecz Zamawiającego kwoty wadium;</w:t>
      </w:r>
    </w:p>
    <w:p w:rsidR="006F4D0E" w:rsidRDefault="006F4D0E" w:rsidP="006F4D0E">
      <w:pPr>
        <w:widowControl w:val="0"/>
        <w:autoSpaceDE w:val="0"/>
        <w:autoSpaceDN w:val="0"/>
        <w:adjustRightInd w:val="0"/>
        <w:ind w:left="709" w:hanging="142"/>
        <w:jc w:val="both"/>
      </w:pPr>
      <w:r>
        <w:t>-  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6F4D0E" w:rsidRDefault="006F4D0E" w:rsidP="006F4D0E">
      <w:pPr>
        <w:widowControl w:val="0"/>
        <w:autoSpaceDE w:val="0"/>
        <w:autoSpaceDN w:val="0"/>
        <w:adjustRightInd w:val="0"/>
        <w:ind w:left="709" w:hanging="142"/>
        <w:jc w:val="both"/>
      </w:pPr>
      <w:r>
        <w:t>- oryginał wadium sporządzony w postaci dokumentu elektronicznego nie może zawierać postanowień uzależniających jego ważność od zwrotu oryginału dokumentu do Gwaranta.</w:t>
      </w:r>
    </w:p>
    <w:p w:rsidR="006F4D0E" w:rsidRDefault="006F4D0E" w:rsidP="006F4D0E">
      <w:pPr>
        <w:widowControl w:val="0"/>
        <w:numPr>
          <w:ilvl w:val="0"/>
          <w:numId w:val="6"/>
        </w:numPr>
        <w:autoSpaceDE w:val="0"/>
        <w:autoSpaceDN w:val="0"/>
        <w:adjustRightInd w:val="0"/>
        <w:ind w:left="567" w:hanging="425"/>
      </w:pPr>
      <w:r>
        <w:t>Wadium musi obejmować cały okres związania ofertą.</w:t>
      </w:r>
    </w:p>
    <w:p w:rsidR="006F4D0E" w:rsidRDefault="006F4D0E" w:rsidP="006F4D0E">
      <w:pPr>
        <w:widowControl w:val="0"/>
        <w:numPr>
          <w:ilvl w:val="0"/>
          <w:numId w:val="6"/>
        </w:numPr>
        <w:autoSpaceDE w:val="0"/>
        <w:autoSpaceDN w:val="0"/>
        <w:adjustRightInd w:val="0"/>
        <w:ind w:left="567" w:hanging="425"/>
      </w:pPr>
      <w:r>
        <w:lastRenderedPageBreak/>
        <w:t xml:space="preserve">Wadium zostanie zwrócone wszystkim oferentom niezwłocznie po podpisaniu umowy lub w innych przypadkach unormowanych w art 46 ustawy </w:t>
      </w:r>
      <w:proofErr w:type="spellStart"/>
      <w:r>
        <w:t>Pzp</w:t>
      </w:r>
      <w:proofErr w:type="spellEnd"/>
      <w:r>
        <w:t>.</w:t>
      </w:r>
    </w:p>
    <w:p w:rsidR="006F4D0E" w:rsidRDefault="006F4D0E" w:rsidP="006F4D0E">
      <w:pPr>
        <w:widowControl w:val="0"/>
        <w:numPr>
          <w:ilvl w:val="0"/>
          <w:numId w:val="6"/>
        </w:numPr>
        <w:autoSpaceDE w:val="0"/>
        <w:autoSpaceDN w:val="0"/>
        <w:adjustRightInd w:val="0"/>
        <w:ind w:left="567" w:hanging="425"/>
      </w:pPr>
      <w:r>
        <w:t xml:space="preserve">Zamawiający zatrzymuje wadium wraz z odsetkami w przypadkach określonych w art.46 ust.4a oraz 5ustawy </w:t>
      </w:r>
      <w:proofErr w:type="spellStart"/>
      <w:r>
        <w:t>Pzp</w:t>
      </w:r>
      <w:proofErr w:type="spellEnd"/>
      <w:r>
        <w:t xml:space="preserve">. </w:t>
      </w:r>
    </w:p>
    <w:p w:rsidR="006F4D0E" w:rsidRDefault="006F4D0E" w:rsidP="006F4D0E">
      <w:pPr>
        <w:widowControl w:val="0"/>
        <w:numPr>
          <w:ilvl w:val="0"/>
          <w:numId w:val="6"/>
        </w:numPr>
        <w:autoSpaceDE w:val="0"/>
        <w:autoSpaceDN w:val="0"/>
        <w:adjustRightInd w:val="0"/>
        <w:ind w:left="567" w:hanging="425"/>
      </w:pPr>
      <w:r>
        <w:t xml:space="preserve">Zamawiający zażąda ponownego wniesienia wadium przez Wykonawcę,  któremu zwrócono wadium na podstawie art.46 </w:t>
      </w:r>
      <w:proofErr w:type="spellStart"/>
      <w:r>
        <w:t>ustwy</w:t>
      </w:r>
      <w:proofErr w:type="spellEnd"/>
      <w:r>
        <w:t xml:space="preserve"> </w:t>
      </w:r>
      <w:proofErr w:type="spellStart"/>
      <w:r>
        <w:t>Pzp</w:t>
      </w:r>
      <w:proofErr w:type="spellEnd"/>
      <w:r>
        <w:t>, jeż</w:t>
      </w:r>
      <w:r w:rsidR="003F2388">
        <w:t>e</w:t>
      </w:r>
      <w:r>
        <w:t>li  w wyniku rozstrzygnięcia odwołania jego oferta zostanie wybrana jako najkorzystniejsza. Wykonawca wnosi wadium w terminie określonym przez Zamawiającego.</w:t>
      </w:r>
    </w:p>
    <w:p w:rsidR="006F4D0E" w:rsidRDefault="006F4D0E" w:rsidP="006F4D0E">
      <w:pPr>
        <w:ind w:left="360" w:hanging="360"/>
        <w:jc w:val="both"/>
        <w:rPr>
          <w:color w:val="FF0000"/>
        </w:rPr>
      </w:pPr>
      <w:r>
        <w:rPr>
          <w:color w:val="FF0000"/>
        </w:rPr>
        <w:t>.</w:t>
      </w: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lastRenderedPageBreak/>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Pr="002E3131">
        <w:rPr>
          <w:b/>
        </w:rPr>
        <w:t>2</w:t>
      </w:r>
      <w:r w:rsidR="00F85905">
        <w:rPr>
          <w:b/>
        </w:rPr>
        <w:t>5</w:t>
      </w:r>
      <w:r w:rsidRPr="002E3131">
        <w:rPr>
          <w:b/>
        </w:rPr>
        <w:t>.04</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3F2388">
        <w:rPr>
          <w:b/>
          <w:bCs/>
          <w:color w:val="000000"/>
        </w:rPr>
        <w:t>2</w:t>
      </w:r>
      <w:r w:rsidR="00F85905">
        <w:rPr>
          <w:b/>
          <w:bCs/>
          <w:color w:val="000000"/>
        </w:rPr>
        <w:t>5</w:t>
      </w:r>
      <w:r>
        <w:rPr>
          <w:b/>
          <w:bCs/>
          <w:color w:val="000000"/>
        </w:rPr>
        <w:t>.</w:t>
      </w:r>
      <w:r w:rsidRPr="002E3131">
        <w:rPr>
          <w:b/>
          <w:bCs/>
        </w:rPr>
        <w:t xml:space="preserve">04.2019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w:t>
      </w:r>
      <w:r>
        <w:lastRenderedPageBreak/>
        <w:t xml:space="preserve">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Cena– </w:t>
      </w:r>
      <w:r w:rsidR="003F2388">
        <w:rPr>
          <w:b/>
          <w:bCs/>
          <w:color w:val="000000"/>
        </w:rPr>
        <w:t>40</w:t>
      </w:r>
      <w:r>
        <w:rPr>
          <w:b/>
          <w:bCs/>
          <w:color w:val="000000"/>
        </w:rPr>
        <w:t xml:space="preserve">%; </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Jakość – </w:t>
      </w:r>
      <w:r w:rsidR="003F2388">
        <w:rPr>
          <w:b/>
          <w:bCs/>
          <w:color w:val="000000"/>
        </w:rPr>
        <w:t>20</w:t>
      </w:r>
      <w:r>
        <w:rPr>
          <w:b/>
          <w:bCs/>
          <w:color w:val="000000"/>
        </w:rPr>
        <w: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Gwarancja– </w:t>
      </w:r>
      <w:r w:rsidR="003F2388">
        <w:rPr>
          <w:b/>
          <w:bCs/>
          <w:color w:val="000000"/>
        </w:rPr>
        <w:t>20</w:t>
      </w:r>
      <w:r>
        <w:rPr>
          <w:b/>
          <w:bCs/>
          <w:color w:val="000000"/>
        </w:rPr>
        <w:t>%,</w:t>
      </w:r>
    </w:p>
    <w:p w:rsidR="003F2388" w:rsidRDefault="003F2388" w:rsidP="006F4D0E">
      <w:pPr>
        <w:widowControl w:val="0"/>
        <w:autoSpaceDE w:val="0"/>
        <w:autoSpaceDN w:val="0"/>
        <w:adjustRightInd w:val="0"/>
        <w:ind w:left="284" w:firstLine="142"/>
        <w:jc w:val="both"/>
        <w:rPr>
          <w:b/>
          <w:bCs/>
          <w:color w:val="000000"/>
        </w:rPr>
      </w:pPr>
      <w:r>
        <w:rPr>
          <w:b/>
          <w:bCs/>
          <w:color w:val="000000"/>
        </w:rPr>
        <w:t>Serwis -10%</w:t>
      </w:r>
    </w:p>
    <w:p w:rsidR="006F4D0E" w:rsidRDefault="006F4D0E" w:rsidP="006F4D0E">
      <w:pPr>
        <w:widowControl w:val="0"/>
        <w:autoSpaceDE w:val="0"/>
        <w:autoSpaceDN w:val="0"/>
        <w:adjustRightInd w:val="0"/>
        <w:ind w:left="284" w:firstLine="142"/>
        <w:jc w:val="both"/>
        <w:rPr>
          <w:b/>
          <w:bCs/>
          <w:color w:val="000000"/>
        </w:rPr>
      </w:pPr>
      <w:r>
        <w:rPr>
          <w:b/>
          <w:bCs/>
          <w:color w:val="000000"/>
        </w:rPr>
        <w:t>Termin dostawy – 10%</w:t>
      </w:r>
    </w:p>
    <w:p w:rsidR="006F4D0E" w:rsidRDefault="006F4D0E" w:rsidP="006F4D0E">
      <w:pPr>
        <w:widowControl w:val="0"/>
        <w:autoSpaceDE w:val="0"/>
        <w:autoSpaceDN w:val="0"/>
        <w:adjustRightInd w:val="0"/>
        <w:ind w:left="240"/>
        <w:jc w:val="both"/>
        <w:rPr>
          <w:b/>
          <w:bCs/>
        </w:rPr>
      </w:pPr>
      <w:r>
        <w:rPr>
          <w:b/>
          <w:bCs/>
        </w:rPr>
        <w:t>--------------------------------</w:t>
      </w:r>
    </w:p>
    <w:p w:rsidR="006F4D0E" w:rsidRDefault="006F4D0E" w:rsidP="006F4D0E">
      <w:pPr>
        <w:widowControl w:val="0"/>
        <w:autoSpaceDE w:val="0"/>
        <w:autoSpaceDN w:val="0"/>
        <w:adjustRightInd w:val="0"/>
        <w:ind w:left="240"/>
        <w:jc w:val="both"/>
        <w:rPr>
          <w:b/>
          <w:bCs/>
        </w:rPr>
      </w:pPr>
      <w:r>
        <w:rPr>
          <w:b/>
          <w:bCs/>
        </w:rPr>
        <w:t xml:space="preserve">                        100 %</w:t>
      </w:r>
    </w:p>
    <w:p w:rsidR="006F4D0E" w:rsidRDefault="006F4D0E" w:rsidP="006F4D0E">
      <w:pPr>
        <w:widowControl w:val="0"/>
        <w:autoSpaceDE w:val="0"/>
        <w:autoSpaceDN w:val="0"/>
        <w:adjustRightInd w:val="0"/>
        <w:jc w:val="both"/>
        <w:rPr>
          <w:b/>
          <w:bCs/>
        </w:rPr>
      </w:pPr>
    </w:p>
    <w:p w:rsidR="006F4D0E" w:rsidRDefault="006F4D0E" w:rsidP="006F4D0E">
      <w:r>
        <w:t>Punkty przyznawane za podane powyżej kryteria będą liczone wg następującego wzoru:</w:t>
      </w:r>
    </w:p>
    <w:p w:rsidR="006F4D0E" w:rsidRDefault="006F4D0E" w:rsidP="006F4D0E"/>
    <w:tbl>
      <w:tblPr>
        <w:tblW w:w="0" w:type="auto"/>
        <w:tblInd w:w="70" w:type="dxa"/>
        <w:tblLayout w:type="fixed"/>
        <w:tblCellMar>
          <w:left w:w="70" w:type="dxa"/>
          <w:right w:w="70" w:type="dxa"/>
        </w:tblCellMar>
        <w:tblLook w:val="04A0" w:firstRow="1" w:lastRow="0" w:firstColumn="1" w:lastColumn="0" w:noHBand="0" w:noVBand="1"/>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hideMark/>
          </w:tcPr>
          <w:p w:rsidR="006F4D0E" w:rsidRDefault="006F4D0E">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3F2388">
              <w:t>4</w:t>
            </w:r>
            <w:r>
              <w:t>0.</w:t>
            </w:r>
          </w:p>
          <w:p w:rsidR="006F4D0E" w:rsidRDefault="006F4D0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3F2388">
              <w:rPr>
                <w:b/>
                <w:bCs/>
              </w:rPr>
              <w:t>4</w:t>
            </w:r>
            <w:r>
              <w:rPr>
                <w:b/>
                <w:bCs/>
              </w:rPr>
              <w:t xml:space="preserve">0 </w:t>
            </w:r>
          </w:p>
          <w:p w:rsidR="006F4D0E" w:rsidRDefault="006F4D0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F4D0E" w:rsidRDefault="006F4D0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6F4D0E" w:rsidRDefault="006F4D0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6F4D0E" w:rsidRDefault="006F4D0E" w:rsidP="006F4D0E">
      <w:pPr>
        <w:widowControl w:val="0"/>
        <w:autoSpaceDE w:val="0"/>
        <w:autoSpaceDN w:val="0"/>
        <w:adjustRightInd w:val="0"/>
        <w:jc w:val="center"/>
        <w:rPr>
          <w:b/>
          <w:bCs/>
          <w:color w:val="000000"/>
          <w:sz w:val="20"/>
          <w:szCs w:val="20"/>
          <w:u w:val="single"/>
          <w:lang w:eastAsia="ar-SA"/>
        </w:rPr>
      </w:pPr>
    </w:p>
    <w:p w:rsidR="006F4D0E" w:rsidRDefault="006F4D0E" w:rsidP="006F4D0E">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Jakość – J </w:t>
            </w:r>
            <w:r>
              <w:t xml:space="preserve">maksymalna liczba punktów do zdobycia w tym kryterium – </w:t>
            </w:r>
            <w:r w:rsidR="003F2388">
              <w:t>20</w:t>
            </w:r>
            <w:r>
              <w:t xml:space="preserve"> </w:t>
            </w:r>
          </w:p>
          <w:p w:rsidR="006F4D0E" w:rsidRDefault="006F4D0E">
            <w:pP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ml:space="preserve">) x </w:t>
            </w:r>
            <w:r w:rsidR="003F2388">
              <w:rPr>
                <w:b/>
                <w:bCs/>
              </w:rPr>
              <w:t>20</w:t>
            </w:r>
          </w:p>
          <w:p w:rsidR="006F4D0E" w:rsidRDefault="006F4D0E">
            <w:pPr>
              <w:spacing w:line="360" w:lineRule="auto"/>
            </w:pPr>
            <w:r>
              <w:t>gdzie: J - razem ilość punktów uzyskana przez ofertę badaną</w:t>
            </w:r>
          </w:p>
          <w:p w:rsidR="006F4D0E" w:rsidRDefault="006F4D0E">
            <w:pPr>
              <w:spacing w:line="360" w:lineRule="auto"/>
            </w:pPr>
            <w:r>
              <w:t xml:space="preserve">           - </w:t>
            </w:r>
            <w:proofErr w:type="spellStart"/>
            <w:r>
              <w:t>Jof</w:t>
            </w:r>
            <w:proofErr w:type="spellEnd"/>
            <w:r>
              <w:t xml:space="preserve"> –  ilość punktów z oferty badanej</w:t>
            </w:r>
          </w:p>
          <w:p w:rsidR="006F4D0E" w:rsidRDefault="006F4D0E">
            <w:pPr>
              <w:spacing w:line="360" w:lineRule="auto"/>
            </w:pPr>
            <w:r>
              <w:t xml:space="preserve">           - </w:t>
            </w:r>
            <w:proofErr w:type="spellStart"/>
            <w:r>
              <w:t>Jmax</w:t>
            </w:r>
            <w:proofErr w:type="spellEnd"/>
            <w:r>
              <w:t xml:space="preserve"> – największa ilość punktów spośród wszystkich ofert</w:t>
            </w:r>
          </w:p>
          <w:p w:rsidR="006F4D0E" w:rsidRDefault="006F4D0E">
            <w:pPr>
              <w:jc w:val="center"/>
            </w:pPr>
          </w:p>
        </w:tc>
      </w:tr>
    </w:tbl>
    <w:p w:rsidR="006F4D0E" w:rsidRDefault="006F4D0E" w:rsidP="006F4D0E">
      <w:pPr>
        <w:widowControl w:val="0"/>
        <w:autoSpaceDE w:val="0"/>
        <w:autoSpaceDN w:val="0"/>
        <w:adjustRightInd w:val="0"/>
        <w:jc w:val="center"/>
        <w:rPr>
          <w:b/>
          <w:bCs/>
          <w:color w:val="000000"/>
          <w:sz w:val="20"/>
          <w:szCs w:val="20"/>
          <w:u w:val="single"/>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Gwarancja </w:t>
            </w:r>
            <w:r>
              <w:rPr>
                <w:bCs/>
              </w:rPr>
              <w:t>(min.12, max.60 miesięcy)</w:t>
            </w:r>
            <w:r>
              <w:rPr>
                <w:b/>
                <w:bCs/>
              </w:rPr>
              <w:t xml:space="preserve"> – G </w:t>
            </w:r>
            <w:r>
              <w:t xml:space="preserve">maksymalna liczba punktów do zdobycia w tym kryterium – </w:t>
            </w:r>
            <w:r w:rsidR="003F2388">
              <w:t>20</w:t>
            </w:r>
            <w:r>
              <w:t xml:space="preserve"> </w:t>
            </w:r>
          </w:p>
          <w:p w:rsidR="006F4D0E" w:rsidRDefault="006F4D0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3F2388">
              <w:rPr>
                <w:b/>
                <w:bCs/>
              </w:rPr>
              <w:t>20</w:t>
            </w:r>
          </w:p>
          <w:p w:rsidR="006F4D0E" w:rsidRDefault="006F4D0E">
            <w:pPr>
              <w:spacing w:line="360" w:lineRule="auto"/>
            </w:pPr>
            <w:r>
              <w:t>gdzie: G - razem ilość punktów uzyskana przez ofertę badaną</w:t>
            </w:r>
          </w:p>
          <w:p w:rsidR="006F4D0E" w:rsidRDefault="006F4D0E">
            <w:pPr>
              <w:spacing w:line="360" w:lineRule="auto"/>
            </w:pPr>
            <w:r>
              <w:t xml:space="preserve">           - </w:t>
            </w:r>
            <w:proofErr w:type="spellStart"/>
            <w:r>
              <w:t>Gof</w:t>
            </w:r>
            <w:proofErr w:type="spellEnd"/>
            <w:r>
              <w:t xml:space="preserve"> –  okres gwarancji z oferty badanej</w:t>
            </w:r>
          </w:p>
          <w:p w:rsidR="006F4D0E" w:rsidRDefault="006F4D0E">
            <w:pPr>
              <w:spacing w:line="360" w:lineRule="auto"/>
            </w:pPr>
            <w:r>
              <w:t xml:space="preserve">           - </w:t>
            </w:r>
            <w:proofErr w:type="spellStart"/>
            <w:r>
              <w:t>Gmax</w:t>
            </w:r>
            <w:proofErr w:type="spellEnd"/>
            <w:r>
              <w:t xml:space="preserve"> – najdłuższy okres gwarancji spośród wszystkich ofert</w:t>
            </w:r>
          </w:p>
          <w:p w:rsidR="006F4D0E" w:rsidRDefault="006F4D0E">
            <w:pPr>
              <w:jc w:val="center"/>
            </w:pPr>
          </w:p>
        </w:tc>
      </w:tr>
    </w:tbl>
    <w:p w:rsidR="006F4D0E" w:rsidRDefault="006F4D0E" w:rsidP="006F4D0E">
      <w:pPr>
        <w:ind w:left="360" w:hanging="360"/>
        <w:rPr>
          <w:b/>
          <w:bCs/>
          <w:sz w:val="20"/>
          <w:szCs w:val="20"/>
          <w:lang w:eastAsia="ar-SA"/>
        </w:rPr>
      </w:pP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rPr>
          <w:b/>
          <w:bCs/>
        </w:rPr>
        <w:lastRenderedPageBreak/>
        <w:t>Serwis</w:t>
      </w:r>
      <w:r w:rsidR="00831737">
        <w:rPr>
          <w:b/>
          <w:bCs/>
        </w:rPr>
        <w:t xml:space="preserve"> – czas naprawy</w:t>
      </w:r>
      <w:r>
        <w:rPr>
          <w:b/>
          <w:bCs/>
        </w:rPr>
        <w:t xml:space="preserve"> </w:t>
      </w:r>
      <w:r>
        <w:rPr>
          <w:bCs/>
        </w:rPr>
        <w:t>( max.</w:t>
      </w:r>
      <w:r w:rsidR="00831737">
        <w:rPr>
          <w:bCs/>
        </w:rPr>
        <w:t>7 dni roboczych</w:t>
      </w:r>
      <w:r>
        <w:rPr>
          <w:bCs/>
        </w:rPr>
        <w:t>)</w:t>
      </w:r>
      <w:r>
        <w:rPr>
          <w:b/>
          <w:bCs/>
        </w:rPr>
        <w:t xml:space="preserve"> – </w:t>
      </w:r>
      <w:r w:rsidR="00831737">
        <w:rPr>
          <w:b/>
          <w:bCs/>
        </w:rPr>
        <w:t>S</w:t>
      </w:r>
      <w:r>
        <w:rPr>
          <w:b/>
          <w:bCs/>
        </w:rPr>
        <w:t xml:space="preserve"> </w:t>
      </w:r>
      <w:r>
        <w:t xml:space="preserve">maksymalna liczba punktów do zdobycia w tym kryterium – 10 </w:t>
      </w:r>
    </w:p>
    <w:p w:rsidR="003F2388" w:rsidRDefault="00831737" w:rsidP="003F2388">
      <w:pPr>
        <w:pBdr>
          <w:top w:val="single" w:sz="4" w:space="1" w:color="auto"/>
          <w:left w:val="single" w:sz="4" w:space="4" w:color="auto"/>
          <w:bottom w:val="single" w:sz="4" w:space="1" w:color="auto"/>
          <w:right w:val="single" w:sz="4" w:space="4" w:color="auto"/>
        </w:pBdr>
        <w:spacing w:line="360" w:lineRule="auto"/>
        <w:rPr>
          <w:b/>
          <w:bCs/>
        </w:rPr>
      </w:pPr>
      <w:r>
        <w:rPr>
          <w:b/>
          <w:bCs/>
        </w:rPr>
        <w:t>S</w:t>
      </w:r>
      <w:r w:rsidR="003F2388">
        <w:rPr>
          <w:b/>
          <w:bCs/>
        </w:rPr>
        <w:t>= (</w:t>
      </w:r>
      <w:r>
        <w:rPr>
          <w:b/>
          <w:bCs/>
        </w:rPr>
        <w:t>S</w:t>
      </w:r>
      <w:r w:rsidR="008168FD">
        <w:rPr>
          <w:b/>
          <w:bCs/>
        </w:rPr>
        <w:t>of</w:t>
      </w:r>
      <w:r w:rsidR="003F2388">
        <w:rPr>
          <w:b/>
          <w:bCs/>
        </w:rPr>
        <w:t>/</w:t>
      </w:r>
      <w:proofErr w:type="spellStart"/>
      <w:r>
        <w:rPr>
          <w:b/>
          <w:bCs/>
        </w:rPr>
        <w:t>S</w:t>
      </w:r>
      <w:r w:rsidR="008168FD">
        <w:rPr>
          <w:b/>
          <w:bCs/>
        </w:rPr>
        <w:t>max</w:t>
      </w:r>
      <w:proofErr w:type="spellEnd"/>
      <w:r w:rsidR="003F2388">
        <w:rPr>
          <w:b/>
          <w:bCs/>
        </w:rPr>
        <w:t>) x 10</w:t>
      </w: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t xml:space="preserve">gdzie: </w:t>
      </w:r>
      <w:r w:rsidR="00831737">
        <w:t>S</w:t>
      </w:r>
      <w:r>
        <w:t xml:space="preserve"> - razem ilość punktów uzyskana przez ofertę badaną</w:t>
      </w: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t xml:space="preserve">           - </w:t>
      </w:r>
      <w:r w:rsidR="00831737">
        <w:t>S</w:t>
      </w:r>
      <w:r w:rsidR="008168FD">
        <w:t>of</w:t>
      </w:r>
      <w:r>
        <w:t xml:space="preserve"> – </w:t>
      </w:r>
      <w:r w:rsidR="008168FD">
        <w:t>ilość punktów z oferty badanej</w:t>
      </w: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t xml:space="preserve">           - </w:t>
      </w:r>
      <w:proofErr w:type="spellStart"/>
      <w:r w:rsidR="00831737">
        <w:t>S</w:t>
      </w:r>
      <w:r w:rsidR="008168FD">
        <w:t>max</w:t>
      </w:r>
      <w:proofErr w:type="spellEnd"/>
      <w:r>
        <w:t xml:space="preserve"> – </w:t>
      </w:r>
      <w:r w:rsidR="008168FD">
        <w:t>najwyższa ilość punktów z pośród wszystkich ofert</w:t>
      </w:r>
    </w:p>
    <w:p w:rsidR="003F2388" w:rsidRDefault="003F2388" w:rsidP="006F4D0E">
      <w:pPr>
        <w:ind w:left="360" w:hanging="360"/>
        <w:rPr>
          <w:b/>
          <w:bCs/>
          <w:sz w:val="20"/>
          <w:szCs w:val="20"/>
          <w:lang w:eastAsia="ar-SA"/>
        </w:rPr>
      </w:pPr>
    </w:p>
    <w:p w:rsidR="003F2388" w:rsidRDefault="003F2388" w:rsidP="006F4D0E">
      <w:pPr>
        <w:ind w:left="360" w:hanging="360"/>
        <w:rPr>
          <w:b/>
          <w:bCs/>
          <w:sz w:val="20"/>
          <w:szCs w:val="20"/>
          <w:lang w:eastAsia="ar-SA"/>
        </w:rPr>
      </w:pP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rPr>
          <w:b/>
          <w:bCs/>
        </w:rPr>
        <w:t xml:space="preserve">Termin dostawy – T </w:t>
      </w:r>
      <w:r>
        <w:t xml:space="preserve">maksymalna liczba punktów do zdobycia w tym kryterium – 10 </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rPr>
          <w:b/>
          <w:bCs/>
        </w:rPr>
      </w:pPr>
      <w:r>
        <w:rPr>
          <w:b/>
          <w:bCs/>
        </w:rPr>
        <w:t>T= (</w:t>
      </w:r>
      <w:proofErr w:type="spellStart"/>
      <w:r>
        <w:rPr>
          <w:b/>
          <w:bCs/>
        </w:rPr>
        <w:t>Tmin</w:t>
      </w:r>
      <w:proofErr w:type="spellEnd"/>
      <w:r>
        <w:rPr>
          <w:b/>
          <w:bCs/>
        </w:rPr>
        <w:t>/Sof) x 10</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t>gdzie: T - razem ilość punktów uzyskana przez ofertę badaną</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t xml:space="preserve">           - </w:t>
      </w:r>
      <w:proofErr w:type="spellStart"/>
      <w:r>
        <w:t>Tmin</w:t>
      </w:r>
      <w:proofErr w:type="spellEnd"/>
      <w:r>
        <w:t xml:space="preserve"> –  najkrótszy termin dostawy ze wszystkich ofert</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t xml:space="preserve">           - </w:t>
      </w:r>
      <w:proofErr w:type="spellStart"/>
      <w:r>
        <w:t>Tof</w:t>
      </w:r>
      <w:proofErr w:type="spellEnd"/>
      <w:r>
        <w:t xml:space="preserve"> – Termin dostawy z oferty badanej </w:t>
      </w:r>
    </w:p>
    <w:p w:rsidR="006F4D0E" w:rsidRDefault="006F4D0E" w:rsidP="006F4D0E">
      <w:pPr>
        <w:ind w:left="360" w:hanging="360"/>
        <w:rPr>
          <w:b/>
          <w:bCs/>
        </w:rPr>
      </w:pPr>
    </w:p>
    <w:p w:rsidR="006F4D0E" w:rsidRDefault="006F4D0E" w:rsidP="00831737">
      <w:r>
        <w:t>Za najkorzystniejszą zostanie uznana oferta, która otrzyma  najwyższą liczbę punktów zgodnie z wzorem:</w:t>
      </w:r>
    </w:p>
    <w:p w:rsidR="006F4D0E" w:rsidRDefault="006F4D0E" w:rsidP="006F4D0E">
      <w:pPr>
        <w:jc w:val="center"/>
        <w:rPr>
          <w:b/>
          <w:bCs/>
        </w:rPr>
      </w:pPr>
      <w:r>
        <w:rPr>
          <w:b/>
          <w:bCs/>
        </w:rPr>
        <w:t>R= C+J+G+</w:t>
      </w:r>
      <w:r w:rsidR="00831737">
        <w:rPr>
          <w:b/>
          <w:bCs/>
        </w:rPr>
        <w:t>S+</w:t>
      </w:r>
      <w:r>
        <w:rPr>
          <w:b/>
          <w:bCs/>
        </w:rPr>
        <w:t>T</w:t>
      </w:r>
    </w:p>
    <w:p w:rsidR="006F4D0E" w:rsidRDefault="006F4D0E" w:rsidP="006F4D0E">
      <w:pPr>
        <w:ind w:left="360" w:hanging="360"/>
      </w:pPr>
      <w:r>
        <w:t>gdzie: R- razem ilość punktów uzyskana przez ofertę badaną</w:t>
      </w:r>
    </w:p>
    <w:p w:rsidR="006F4D0E" w:rsidRDefault="006F4D0E" w:rsidP="00831737">
      <w:pPr>
        <w:ind w:left="709" w:hanging="709"/>
      </w:pPr>
      <w:r>
        <w:t xml:space="preserve">          C</w:t>
      </w:r>
      <w:r w:rsidR="00831737">
        <w:t xml:space="preserve"> </w:t>
      </w:r>
      <w:r>
        <w:t>-ilość punktów uzyskana za cenę</w:t>
      </w:r>
    </w:p>
    <w:p w:rsidR="006F4D0E" w:rsidRDefault="006F4D0E" w:rsidP="006F4D0E">
      <w:pPr>
        <w:ind w:left="360" w:hanging="360"/>
      </w:pPr>
      <w:r>
        <w:t xml:space="preserve">          J -ilość punktów uzyskana za jakość</w:t>
      </w:r>
    </w:p>
    <w:p w:rsidR="006F4D0E" w:rsidRDefault="006F4D0E" w:rsidP="006F4D0E">
      <w:pPr>
        <w:ind w:left="360" w:hanging="360"/>
      </w:pPr>
      <w:r>
        <w:tab/>
        <w:t xml:space="preserve"> </w:t>
      </w:r>
      <w:r w:rsidR="00831737">
        <w:t xml:space="preserve"> </w:t>
      </w:r>
      <w:r>
        <w:t xml:space="preserve"> G</w:t>
      </w:r>
      <w:r w:rsidR="00831737">
        <w:t xml:space="preserve"> </w:t>
      </w:r>
      <w:r>
        <w:t>-ilość punktów uzyskana za gwarancje</w:t>
      </w:r>
    </w:p>
    <w:p w:rsidR="00831737" w:rsidRDefault="00831737" w:rsidP="006F4D0E">
      <w:pPr>
        <w:ind w:left="360" w:hanging="360"/>
      </w:pPr>
      <w:r>
        <w:t xml:space="preserve">          S - ilość punktów uzyskana za serwis</w:t>
      </w:r>
    </w:p>
    <w:p w:rsidR="006F4D0E" w:rsidRDefault="006F4D0E" w:rsidP="006F4D0E">
      <w:pPr>
        <w:ind w:left="360" w:hanging="360"/>
      </w:pPr>
      <w:r>
        <w:t xml:space="preserve">          T- ilość punktów uzyskana za termin dostawy</w:t>
      </w:r>
    </w:p>
    <w:p w:rsidR="006F4D0E" w:rsidRDefault="006F4D0E" w:rsidP="006F4D0E">
      <w:pPr>
        <w:ind w:left="360" w:hanging="360"/>
      </w:pPr>
      <w:r>
        <w:t xml:space="preserve">    </w:t>
      </w:r>
    </w:p>
    <w:p w:rsidR="006F4D0E" w:rsidRDefault="006F4D0E" w:rsidP="006F4D0E">
      <w:pPr>
        <w:widowControl w:val="0"/>
        <w:tabs>
          <w:tab w:val="left" w:pos="540"/>
        </w:tabs>
        <w:autoSpaceDE w:val="0"/>
        <w:autoSpaceDN w:val="0"/>
        <w:adjustRightInd w:val="0"/>
        <w:ind w:left="360" w:hanging="240"/>
      </w:pPr>
      <w:r>
        <w:t>Obliczenia będą dokonywane z dokładnością do dwóch miejsc po przecinku.</w:t>
      </w:r>
    </w:p>
    <w:p w:rsidR="006F4D0E" w:rsidRDefault="006F4D0E" w:rsidP="006F4D0E">
      <w:pPr>
        <w:widowControl w:val="0"/>
        <w:tabs>
          <w:tab w:val="left" w:pos="540"/>
        </w:tabs>
        <w:autoSpaceDE w:val="0"/>
        <w:autoSpaceDN w:val="0"/>
        <w:adjustRightInd w:val="0"/>
        <w:ind w:left="540" w:hanging="540"/>
        <w:rPr>
          <w:b/>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lastRenderedPageBreak/>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bookmarkStart w:id="1" w:name="_GoBack"/>
      <w:bookmarkEnd w:id="1"/>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6F4D0E" w:rsidRDefault="006F4D0E" w:rsidP="006F4D0E">
      <w:pPr>
        <w:widowControl w:val="0"/>
        <w:autoSpaceDE w:val="0"/>
        <w:autoSpaceDN w:val="0"/>
        <w:adjustRightInd w:val="0"/>
        <w:rPr>
          <w:bCs/>
          <w:color w:val="000000"/>
        </w:rPr>
      </w:pPr>
      <w:proofErr w:type="spellStart"/>
      <w:r>
        <w:rPr>
          <w:bCs/>
          <w:color w:val="000000"/>
        </w:rPr>
        <w:t>Sporz</w:t>
      </w:r>
      <w:proofErr w:type="spellEnd"/>
      <w:r>
        <w:rPr>
          <w:bCs/>
          <w:color w:val="000000"/>
        </w:rPr>
        <w:t xml:space="preserve">. </w:t>
      </w:r>
      <w:proofErr w:type="spellStart"/>
      <w:r>
        <w:rPr>
          <w:bCs/>
          <w:color w:val="000000"/>
        </w:rPr>
        <w:t>K.Nowak</w:t>
      </w:r>
      <w:proofErr w:type="spellEnd"/>
    </w:p>
    <w:p w:rsidR="006F4D0E" w:rsidRDefault="006F4D0E" w:rsidP="006F4D0E">
      <w:pPr>
        <w:widowControl w:val="0"/>
        <w:autoSpaceDE w:val="0"/>
        <w:autoSpaceDN w:val="0"/>
        <w:adjustRightInd w:val="0"/>
      </w:pPr>
    </w:p>
    <w:p w:rsidR="006F4D0E" w:rsidRDefault="006F4D0E" w:rsidP="006F4D0E">
      <w:pPr>
        <w:rPr>
          <w:bCs/>
        </w:rPr>
      </w:pPr>
    </w:p>
    <w:p w:rsidR="006F4D0E" w:rsidRDefault="006F4D0E" w:rsidP="006F4D0E">
      <w:pPr>
        <w:rPr>
          <w:bCs/>
        </w:rPr>
      </w:pPr>
    </w:p>
    <w:p w:rsidR="006F4D0E" w:rsidRDefault="006F4D0E" w:rsidP="006F4D0E">
      <w:pPr>
        <w:rPr>
          <w:bCs/>
        </w:rPr>
      </w:pPr>
    </w:p>
    <w:p w:rsidR="006F4D0E" w:rsidRDefault="006F4D0E" w:rsidP="006F4D0E">
      <w:pPr>
        <w:rPr>
          <w:bCs/>
        </w:rPr>
      </w:pPr>
    </w:p>
    <w:p w:rsidR="006F4D0E" w:rsidRDefault="006F4D0E" w:rsidP="006F4D0E">
      <w:pPr>
        <w:widowControl w:val="0"/>
        <w:autoSpaceDE w:val="0"/>
        <w:jc w:val="both"/>
        <w:rPr>
          <w:b/>
          <w:bCs/>
          <w:sz w:val="32"/>
          <w:szCs w:val="32"/>
        </w:rPr>
      </w:pPr>
    </w:p>
    <w:p w:rsidR="006F4D0E" w:rsidRDefault="006F4D0E" w:rsidP="006F4D0E">
      <w:pPr>
        <w:widowControl w:val="0"/>
        <w:autoSpaceDE w:val="0"/>
        <w:jc w:val="both"/>
        <w:rPr>
          <w:b/>
          <w:bCs/>
          <w:sz w:val="32"/>
          <w:szCs w:val="32"/>
        </w:rPr>
      </w:pPr>
    </w:p>
    <w:p w:rsidR="00021627" w:rsidRDefault="00021627" w:rsidP="006F4D0E">
      <w:pPr>
        <w:ind w:hanging="180"/>
        <w:jc w:val="both"/>
      </w:pPr>
    </w:p>
    <w:sectPr w:rsidR="00021627" w:rsidSect="003F2388">
      <w:headerReference w:type="default" r:id="rId8"/>
      <w:pgSz w:w="11906" w:h="16838"/>
      <w:pgMar w:top="1417" w:right="849"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2E3131"/>
    <w:rsid w:val="002E5C0E"/>
    <w:rsid w:val="003F2388"/>
    <w:rsid w:val="004E0BBE"/>
    <w:rsid w:val="00527C08"/>
    <w:rsid w:val="00543E41"/>
    <w:rsid w:val="005505C5"/>
    <w:rsid w:val="0057076A"/>
    <w:rsid w:val="006177B0"/>
    <w:rsid w:val="006F4D0E"/>
    <w:rsid w:val="00723FD4"/>
    <w:rsid w:val="008168FD"/>
    <w:rsid w:val="00831737"/>
    <w:rsid w:val="00902B59"/>
    <w:rsid w:val="00955AA6"/>
    <w:rsid w:val="00C86961"/>
    <w:rsid w:val="00CF54E3"/>
    <w:rsid w:val="00D920E2"/>
    <w:rsid w:val="00DE1ED6"/>
    <w:rsid w:val="00DE1F1D"/>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316CFD"/>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4142</Words>
  <Characters>27548</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10</cp:revision>
  <cp:lastPrinted>2019-05-06T06:04:00Z</cp:lastPrinted>
  <dcterms:created xsi:type="dcterms:W3CDTF">2018-05-25T07:52:00Z</dcterms:created>
  <dcterms:modified xsi:type="dcterms:W3CDTF">2019-05-06T06:06:00Z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