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w:t>
      </w:r>
      <w:proofErr w:type="spellStart"/>
      <w:r w:rsidRPr="00FF5FEA">
        <w:rPr>
          <w:b/>
          <w:bCs/>
          <w:sz w:val="20"/>
          <w:szCs w:val="20"/>
        </w:rPr>
        <w:t>spr</w:t>
      </w:r>
      <w:proofErr w:type="spellEnd"/>
      <w:r w:rsidRPr="00FF5FEA">
        <w:rPr>
          <w:b/>
          <w:bCs/>
          <w:sz w:val="20"/>
          <w:szCs w:val="20"/>
        </w:rPr>
        <w:t xml:space="preserve">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913AC6"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913AC6">
        <w:rPr>
          <w:sz w:val="20"/>
          <w:szCs w:val="20"/>
          <w:lang w:val="en-US"/>
        </w:rPr>
        <w:t xml:space="preserve"> </w:t>
      </w:r>
      <w:r w:rsidR="006F4D0E">
        <w:rPr>
          <w:b/>
          <w:bCs/>
        </w:rPr>
        <w:t>Znak sprawy: DZP-271-</w:t>
      </w:r>
      <w:r w:rsidR="00C35F08">
        <w:rPr>
          <w:b/>
          <w:bCs/>
        </w:rPr>
        <w:t>33</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r>
      <w:r w:rsidR="006F4D0E">
        <w:rPr>
          <w:b/>
          <w:bCs/>
        </w:rPr>
        <w:tab/>
        <w:t xml:space="preserve">       Brzesko 1</w:t>
      </w:r>
      <w:r w:rsidR="005F10C7">
        <w:rPr>
          <w:b/>
          <w:bCs/>
        </w:rPr>
        <w:t>0</w:t>
      </w:r>
      <w:r w:rsidR="006F4D0E">
        <w:rPr>
          <w:b/>
          <w:bCs/>
        </w:rPr>
        <w:t>.0</w:t>
      </w:r>
      <w:r w:rsidR="005F10C7">
        <w:rPr>
          <w:b/>
          <w:bCs/>
        </w:rPr>
        <w:t>5</w:t>
      </w:r>
      <w:r w:rsidR="006F4D0E">
        <w:rPr>
          <w:b/>
          <w:bCs/>
        </w:rPr>
        <w:t>.2019 r.</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6F4D0E" w:rsidRDefault="006F4D0E" w:rsidP="006F4D0E">
      <w:pPr>
        <w:widowControl w:val="0"/>
        <w:tabs>
          <w:tab w:val="left" w:pos="2400"/>
        </w:tabs>
        <w:autoSpaceDE w:val="0"/>
        <w:autoSpaceDN w:val="0"/>
        <w:adjustRightInd w:val="0"/>
        <w:ind w:left="1320" w:hanging="1320"/>
        <w:jc w:val="center"/>
        <w:rPr>
          <w:bCs/>
          <w:sz w:val="28"/>
          <w:szCs w:val="28"/>
        </w:rPr>
      </w:pPr>
      <w:r w:rsidRPr="006F4D0E">
        <w:rPr>
          <w:bCs/>
          <w:sz w:val="28"/>
          <w:szCs w:val="28"/>
        </w:rPr>
        <w:t xml:space="preserve">na dostawę: </w:t>
      </w:r>
    </w:p>
    <w:p w:rsidR="006F4D0E" w:rsidRDefault="005F10C7" w:rsidP="005F10C7">
      <w:pPr>
        <w:jc w:val="center"/>
        <w:rPr>
          <w:sz w:val="20"/>
          <w:szCs w:val="20"/>
        </w:rPr>
      </w:pPr>
      <w:r>
        <w:rPr>
          <w:b/>
          <w:bCs/>
          <w:sz w:val="28"/>
          <w:szCs w:val="28"/>
        </w:rPr>
        <w:t xml:space="preserve">Myjni dezynfektora – </w:t>
      </w:r>
      <w:proofErr w:type="spellStart"/>
      <w:r>
        <w:rPr>
          <w:b/>
          <w:bCs/>
          <w:sz w:val="28"/>
          <w:szCs w:val="28"/>
        </w:rPr>
        <w:t>kpl</w:t>
      </w:r>
      <w:proofErr w:type="spellEnd"/>
      <w:r>
        <w:rPr>
          <w:b/>
          <w:bCs/>
          <w:sz w:val="28"/>
          <w:szCs w:val="28"/>
        </w:rPr>
        <w:t xml:space="preserve"> 1</w:t>
      </w:r>
    </w:p>
    <w:p w:rsidR="006F4D0E" w:rsidRDefault="006F4D0E" w:rsidP="006F4D0E"/>
    <w:p w:rsidR="006F4D0E" w:rsidRDefault="006F4D0E" w:rsidP="005F10C7">
      <w:pPr>
        <w:ind w:left="720"/>
        <w:rPr>
          <w:color w:val="000000"/>
        </w:rPr>
      </w:pPr>
      <w:r>
        <w:rPr>
          <w:color w:val="000000"/>
        </w:rPr>
        <w:t>Kod CPV: 331</w:t>
      </w:r>
      <w:r w:rsidR="005F10C7">
        <w:rPr>
          <w:color w:val="000000"/>
        </w:rPr>
        <w:t xml:space="preserve">91000-5 </w:t>
      </w:r>
      <w:r>
        <w:rPr>
          <w:color w:val="000000"/>
        </w:rPr>
        <w:t xml:space="preserve">Urządzenia </w:t>
      </w:r>
      <w:r w:rsidR="005F10C7">
        <w:rPr>
          <w:color w:val="000000"/>
        </w:rPr>
        <w:t>sterylizujące, dezynfekcyjne i higieniczne</w:t>
      </w:r>
      <w:r>
        <w:rPr>
          <w:color w:val="000000"/>
        </w:rPr>
        <w:t>;</w:t>
      </w:r>
    </w:p>
    <w:p w:rsidR="006F4D0E" w:rsidRDefault="006F4D0E" w:rsidP="005F10C7">
      <w:pPr>
        <w:ind w:left="720"/>
        <w:rPr>
          <w:color w:val="000000"/>
        </w:rPr>
      </w:pP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5F10C7" w:rsidRDefault="005F10C7"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6F4D0E" w:rsidP="005F10C7">
      <w:pPr>
        <w:widowControl w:val="0"/>
        <w:tabs>
          <w:tab w:val="left" w:pos="2400"/>
        </w:tabs>
        <w:autoSpaceDE w:val="0"/>
        <w:autoSpaceDN w:val="0"/>
        <w:adjustRightInd w:val="0"/>
        <w:ind w:left="284" w:hanging="284"/>
        <w:rPr>
          <w:b/>
          <w:bCs/>
          <w:sz w:val="28"/>
          <w:szCs w:val="28"/>
        </w:rPr>
      </w:pPr>
      <w:r w:rsidRPr="006F4D0E">
        <w:rPr>
          <w:bCs/>
        </w:rPr>
        <w:t xml:space="preserve">    </w:t>
      </w:r>
      <w:r w:rsidR="005F10C7">
        <w:rPr>
          <w:b/>
          <w:bCs/>
        </w:rPr>
        <w:t xml:space="preserve">Myjni dezynfektora </w:t>
      </w:r>
      <w:r>
        <w:rPr>
          <w:bCs/>
          <w:iCs/>
        </w:rPr>
        <w:t>dla Samodzielnego Publicznego Zespołu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rPr>
          <w:b/>
        </w:rPr>
      </w:pPr>
      <w:bookmarkStart w:id="0" w:name="_Hlk504719007"/>
      <w:r>
        <w:rPr>
          <w:b/>
        </w:rPr>
        <w:t>1)</w:t>
      </w:r>
      <w:r>
        <w:rPr>
          <w:b/>
        </w:rPr>
        <w:tab/>
      </w:r>
      <w:r>
        <w:t xml:space="preserve">Przedmiotem zamówienia jest dostawa, instalacja i uruchomienie </w:t>
      </w:r>
      <w:bookmarkEnd w:id="0"/>
    </w:p>
    <w:p w:rsidR="006F4D0E" w:rsidRPr="00C35F08" w:rsidRDefault="005F10C7" w:rsidP="006F4D0E">
      <w:pPr>
        <w:ind w:left="284" w:hanging="284"/>
        <w:jc w:val="both"/>
        <w:rPr>
          <w:bCs/>
          <w:color w:val="000000"/>
          <w:lang w:eastAsia="ar-SA"/>
        </w:rPr>
      </w:pPr>
      <w:r>
        <w:rPr>
          <w:bCs/>
        </w:rPr>
        <w:t xml:space="preserve">     </w:t>
      </w:r>
      <w:r w:rsidRPr="005F10C7">
        <w:rPr>
          <w:b/>
          <w:bCs/>
        </w:rPr>
        <w:t xml:space="preserve">Myjni dezynfektora </w:t>
      </w:r>
      <w:r w:rsidR="00C35F08">
        <w:rPr>
          <w:bCs/>
        </w:rPr>
        <w:t>przeznaczonego do mycia i dezynfekcji naczyń sanitarnych ( baseny, kaczki)</w:t>
      </w: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3F2388">
      <w:pPr>
        <w:tabs>
          <w:tab w:val="left" w:pos="180"/>
        </w:tabs>
        <w:autoSpaceDE w:val="0"/>
        <w:autoSpaceDN w:val="0"/>
        <w:adjustRightInd w:val="0"/>
        <w:rPr>
          <w:b/>
          <w:bCs/>
        </w:rPr>
      </w:pPr>
      <w:r>
        <w:rPr>
          <w:b/>
          <w:bCs/>
        </w:rPr>
        <w:t xml:space="preserve">4.  1)Zamawiający nie dopuszcza składanie ofert częściowych.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pPr>
              <w:widowControl w:val="0"/>
              <w:autoSpaceDE w:val="0"/>
              <w:autoSpaceDN w:val="0"/>
              <w:adjustRightInd w:val="0"/>
              <w:jc w:val="right"/>
            </w:pPr>
            <w:r>
              <w:lastRenderedPageBreak/>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lastRenderedPageBreak/>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
              <w:t xml:space="preserve">                      1                             </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pPr>
              <w:widowControl w:val="0"/>
              <w:autoSpaceDE w:val="0"/>
              <w:autoSpaceDN w:val="0"/>
              <w:adjustRightInd w:val="0"/>
              <w:jc w:val="center"/>
            </w:pPr>
          </w:p>
          <w:p w:rsidR="006F4D0E" w:rsidRDefault="006F4D0E">
            <w:pPr>
              <w:widowControl w:val="0"/>
              <w:autoSpaceDE w:val="0"/>
              <w:autoSpaceDN w:val="0"/>
              <w:adjustRightInd w:val="0"/>
            </w:pPr>
            <w:r>
              <w:t xml:space="preserve">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Katalogi, prospekty potwierdzające oferowane urządzeni</w:t>
            </w:r>
            <w:r w:rsidR="00C35F08">
              <w:t>e</w:t>
            </w:r>
            <w:r>
              <w:t xml:space="preserve">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lastRenderedPageBreak/>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lastRenderedPageBreak/>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w:t>
      </w:r>
      <w:r>
        <w:rPr>
          <w:color w:val="000000"/>
        </w:rPr>
        <w:lastRenderedPageBreak/>
        <w:t xml:space="preserve">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bookmarkStart w:id="1" w:name="_GoBack"/>
      <w:bookmarkEnd w:id="1"/>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lastRenderedPageBreak/>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Pr="002E3131">
        <w:rPr>
          <w:b/>
        </w:rPr>
        <w:t>2</w:t>
      </w:r>
      <w:r w:rsidR="00C35F08">
        <w:rPr>
          <w:b/>
        </w:rPr>
        <w:t>1</w:t>
      </w:r>
      <w:r w:rsidRPr="002E3131">
        <w:rPr>
          <w:b/>
        </w:rPr>
        <w:t>.0</w:t>
      </w:r>
      <w:r w:rsidR="00C35F08">
        <w:rPr>
          <w:b/>
        </w:rPr>
        <w:t>5</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3F2388">
        <w:rPr>
          <w:b/>
          <w:bCs/>
          <w:color w:val="000000"/>
        </w:rPr>
        <w:t>2</w:t>
      </w:r>
      <w:r w:rsidR="00C35F08">
        <w:rPr>
          <w:b/>
          <w:bCs/>
          <w:color w:val="000000"/>
        </w:rPr>
        <w:t>1</w:t>
      </w:r>
      <w:r>
        <w:rPr>
          <w:b/>
          <w:bCs/>
          <w:color w:val="000000"/>
        </w:rPr>
        <w:t>.</w:t>
      </w:r>
      <w:r w:rsidRPr="002E3131">
        <w:rPr>
          <w:b/>
          <w:bCs/>
        </w:rPr>
        <w:t>0</w:t>
      </w:r>
      <w:r w:rsidR="00C35F08">
        <w:rPr>
          <w:b/>
          <w:bCs/>
        </w:rPr>
        <w:t>5</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w:t>
      </w:r>
      <w:r>
        <w:rPr>
          <w:b/>
          <w:color w:val="000000"/>
        </w:rPr>
        <w:lastRenderedPageBreak/>
        <w:t xml:space="preserve">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w:t>
      </w:r>
      <w:r>
        <w:lastRenderedPageBreak/>
        <w:t xml:space="preserve">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C35F08">
        <w:rPr>
          <w:b/>
          <w:bCs/>
          <w:color w:val="000000"/>
        </w:rPr>
        <w:t>5</w:t>
      </w:r>
      <w:r w:rsidR="003F2388">
        <w:rPr>
          <w:b/>
          <w:bCs/>
          <w:color w:val="000000"/>
        </w:rPr>
        <w:t>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Jakość – </w:t>
      </w:r>
      <w:r w:rsidR="003F2388">
        <w:rPr>
          <w:b/>
          <w:bCs/>
          <w:color w:val="000000"/>
        </w:rPr>
        <w:t>20</w:t>
      </w:r>
      <w:r>
        <w:rPr>
          <w:b/>
          <w:bCs/>
          <w:color w:val="000000"/>
        </w:rPr>
        <w: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3F2388">
        <w:rPr>
          <w:b/>
          <w:bCs/>
          <w:color w:val="000000"/>
        </w:rPr>
        <w:t>20</w:t>
      </w:r>
      <w:r>
        <w:rPr>
          <w:b/>
          <w:bCs/>
          <w:color w:val="000000"/>
        </w:rPr>
        <w:t>%,</w:t>
      </w:r>
    </w:p>
    <w:p w:rsidR="003F2388" w:rsidRDefault="003F2388" w:rsidP="006F4D0E">
      <w:pPr>
        <w:widowControl w:val="0"/>
        <w:autoSpaceDE w:val="0"/>
        <w:autoSpaceDN w:val="0"/>
        <w:adjustRightInd w:val="0"/>
        <w:ind w:left="284" w:firstLine="142"/>
        <w:jc w:val="both"/>
        <w:rPr>
          <w:b/>
          <w:bCs/>
          <w:color w:val="000000"/>
        </w:rPr>
      </w:pPr>
      <w:r>
        <w:rPr>
          <w:b/>
          <w:bCs/>
          <w:color w:val="000000"/>
        </w:rPr>
        <w:t>Serwis -10%</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C35F08">
              <w:t>5</w:t>
            </w:r>
            <w:r>
              <w:t>0.</w:t>
            </w:r>
          </w:p>
          <w:p w:rsidR="006F4D0E" w:rsidRDefault="006F4D0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C35F08">
              <w:rPr>
                <w:b/>
                <w:bCs/>
              </w:rPr>
              <w:t>5</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6F4D0E" w:rsidRDefault="006F4D0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Jakość – J </w:t>
            </w:r>
            <w:r>
              <w:t xml:space="preserve">maksymalna liczba punktów do zdobycia w tym kryterium – </w:t>
            </w:r>
            <w:r w:rsidR="003F2388">
              <w:t>20</w:t>
            </w:r>
            <w:r>
              <w:t xml:space="preserve"> </w:t>
            </w:r>
          </w:p>
          <w:p w:rsidR="006F4D0E" w:rsidRDefault="006F4D0E">
            <w:pP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ml:space="preserve">) x </w:t>
            </w:r>
            <w:r w:rsidR="003F2388">
              <w:rPr>
                <w:b/>
                <w:bCs/>
              </w:rPr>
              <w:t>20</w:t>
            </w:r>
          </w:p>
          <w:p w:rsidR="006F4D0E" w:rsidRDefault="006F4D0E">
            <w:pPr>
              <w:spacing w:line="360" w:lineRule="auto"/>
            </w:pPr>
            <w:r>
              <w:t>gdzie: J - razem ilość punktów uzyskana przez ofertę badaną</w:t>
            </w:r>
          </w:p>
          <w:p w:rsidR="006F4D0E" w:rsidRDefault="006F4D0E">
            <w:pPr>
              <w:spacing w:line="360" w:lineRule="auto"/>
            </w:pPr>
            <w:r>
              <w:t xml:space="preserve">           - </w:t>
            </w:r>
            <w:proofErr w:type="spellStart"/>
            <w:r>
              <w:t>Jof</w:t>
            </w:r>
            <w:proofErr w:type="spellEnd"/>
            <w:r>
              <w:t xml:space="preserve"> –  ilość punktów z oferty badanej</w:t>
            </w:r>
          </w:p>
          <w:p w:rsidR="006F4D0E" w:rsidRDefault="006F4D0E">
            <w:pPr>
              <w:spacing w:line="360" w:lineRule="auto"/>
            </w:pPr>
            <w:r>
              <w:t xml:space="preserve">           - </w:t>
            </w:r>
            <w:proofErr w:type="spellStart"/>
            <w:r>
              <w:t>Jmax</w:t>
            </w:r>
            <w:proofErr w:type="spellEnd"/>
            <w:r>
              <w:t xml:space="preserve"> – największa ilość punktów spośród wszystkich ofert</w:t>
            </w:r>
          </w:p>
          <w:p w:rsidR="006F4D0E" w:rsidRDefault="006F4D0E">
            <w:pPr>
              <w:jc w:val="center"/>
            </w:pPr>
          </w:p>
        </w:tc>
      </w:tr>
    </w:tbl>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Gwarancja </w:t>
            </w:r>
            <w:r>
              <w:rPr>
                <w:bCs/>
              </w:rPr>
              <w:t>(min.12, max.60 miesięcy)</w:t>
            </w:r>
            <w:r>
              <w:rPr>
                <w:b/>
                <w:bCs/>
              </w:rPr>
              <w:t xml:space="preserve"> – G </w:t>
            </w:r>
            <w:r>
              <w:t xml:space="preserve">maksymalna liczba punktów do zdobycia w tym kryterium – </w:t>
            </w:r>
            <w:r w:rsidR="003F2388">
              <w:t>20</w:t>
            </w:r>
            <w:r>
              <w:t xml:space="preserve"> </w:t>
            </w:r>
          </w:p>
          <w:p w:rsidR="006F4D0E" w:rsidRDefault="006F4D0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3F2388">
              <w:rPr>
                <w:b/>
                <w:bCs/>
              </w:rPr>
              <w:t>20</w:t>
            </w:r>
          </w:p>
          <w:p w:rsidR="006F4D0E" w:rsidRDefault="006F4D0E">
            <w:pPr>
              <w:spacing w:line="360" w:lineRule="auto"/>
            </w:pPr>
            <w:r>
              <w:t>gdzie: G - razem ilość punktów uzyskana przez ofertę badaną</w:t>
            </w:r>
          </w:p>
          <w:p w:rsidR="006F4D0E" w:rsidRDefault="006F4D0E">
            <w:pPr>
              <w:spacing w:line="360" w:lineRule="auto"/>
            </w:pPr>
            <w:r>
              <w:t xml:space="preserve">           - </w:t>
            </w:r>
            <w:proofErr w:type="spellStart"/>
            <w:r>
              <w:t>Gof</w:t>
            </w:r>
            <w:proofErr w:type="spellEnd"/>
            <w:r>
              <w:t xml:space="preserve"> –  okres gwarancji z oferty badanej</w:t>
            </w:r>
          </w:p>
          <w:p w:rsidR="006F4D0E" w:rsidRDefault="006F4D0E">
            <w:pPr>
              <w:spacing w:line="360" w:lineRule="auto"/>
            </w:pPr>
            <w:r>
              <w:t xml:space="preserve">           - </w:t>
            </w:r>
            <w:proofErr w:type="spellStart"/>
            <w:r>
              <w:t>Gmax</w:t>
            </w:r>
            <w:proofErr w:type="spellEnd"/>
            <w:r>
              <w:t xml:space="preserve">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rPr>
          <w:b/>
          <w:bCs/>
        </w:rPr>
        <w:lastRenderedPageBreak/>
        <w:t>Serwis</w:t>
      </w:r>
      <w:r w:rsidR="00831737">
        <w:rPr>
          <w:b/>
          <w:bCs/>
        </w:rPr>
        <w:t xml:space="preserve"> – czas naprawy</w:t>
      </w:r>
      <w:r>
        <w:rPr>
          <w:b/>
          <w:bCs/>
        </w:rPr>
        <w:t xml:space="preserve"> </w:t>
      </w:r>
      <w:r>
        <w:rPr>
          <w:bCs/>
        </w:rPr>
        <w:t>( max.</w:t>
      </w:r>
      <w:r w:rsidR="00831737">
        <w:rPr>
          <w:bCs/>
        </w:rPr>
        <w:t>7 dni roboczych</w:t>
      </w:r>
      <w:r>
        <w:rPr>
          <w:bCs/>
        </w:rPr>
        <w:t>)</w:t>
      </w:r>
      <w:r>
        <w:rPr>
          <w:b/>
          <w:bCs/>
        </w:rPr>
        <w:t xml:space="preserve"> – </w:t>
      </w:r>
      <w:r w:rsidR="00831737">
        <w:rPr>
          <w:b/>
          <w:bCs/>
        </w:rPr>
        <w:t>S</w:t>
      </w:r>
      <w:r>
        <w:rPr>
          <w:b/>
          <w:bCs/>
        </w:rPr>
        <w:t xml:space="preserve"> </w:t>
      </w:r>
      <w:r>
        <w:t xml:space="preserve">maksymalna liczba punktów do zdobycia w tym kryterium – 10 </w:t>
      </w:r>
    </w:p>
    <w:p w:rsidR="003F2388" w:rsidRDefault="00831737" w:rsidP="003F2388">
      <w:pPr>
        <w:pBdr>
          <w:top w:val="single" w:sz="4" w:space="1" w:color="auto"/>
          <w:left w:val="single" w:sz="4" w:space="4" w:color="auto"/>
          <w:bottom w:val="single" w:sz="4" w:space="1" w:color="auto"/>
          <w:right w:val="single" w:sz="4" w:space="4" w:color="auto"/>
        </w:pBdr>
        <w:spacing w:line="360" w:lineRule="auto"/>
        <w:rPr>
          <w:b/>
          <w:bCs/>
        </w:rPr>
      </w:pPr>
      <w:r>
        <w:rPr>
          <w:b/>
          <w:bCs/>
        </w:rPr>
        <w:t>S</w:t>
      </w:r>
      <w:r w:rsidR="003F2388">
        <w:rPr>
          <w:b/>
          <w:bCs/>
        </w:rPr>
        <w:t>= (</w:t>
      </w:r>
      <w:r>
        <w:rPr>
          <w:b/>
          <w:bCs/>
        </w:rPr>
        <w:t>S</w:t>
      </w:r>
      <w:r w:rsidR="008168FD">
        <w:rPr>
          <w:b/>
          <w:bCs/>
        </w:rPr>
        <w:t>of</w:t>
      </w:r>
      <w:r w:rsidR="003F2388">
        <w:rPr>
          <w:b/>
          <w:bCs/>
        </w:rPr>
        <w:t>/</w:t>
      </w:r>
      <w:proofErr w:type="spellStart"/>
      <w:r>
        <w:rPr>
          <w:b/>
          <w:bCs/>
        </w:rPr>
        <w:t>S</w:t>
      </w:r>
      <w:r w:rsidR="008168FD">
        <w:rPr>
          <w:b/>
          <w:bCs/>
        </w:rPr>
        <w:t>max</w:t>
      </w:r>
      <w:proofErr w:type="spellEnd"/>
      <w:r w:rsidR="003F2388">
        <w:rPr>
          <w:b/>
          <w:bCs/>
        </w:rPr>
        <w:t>) x 10</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gdzie: </w:t>
      </w:r>
      <w:r w:rsidR="00831737">
        <w:t>S</w:t>
      </w:r>
      <w:r>
        <w:t xml:space="preserve"> - razem ilość punktów uzyskana przez ofertę badaną</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           - </w:t>
      </w:r>
      <w:r w:rsidR="00831737">
        <w:t>S</w:t>
      </w:r>
      <w:r w:rsidR="008168FD">
        <w:t>of</w:t>
      </w:r>
      <w:r>
        <w:t xml:space="preserve"> – </w:t>
      </w:r>
      <w:r w:rsidR="008168FD">
        <w:t>ilość punktów z oferty badanej</w:t>
      </w:r>
    </w:p>
    <w:p w:rsidR="003F2388" w:rsidRDefault="003F2388" w:rsidP="003F2388">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rsidR="00831737">
        <w:t>S</w:t>
      </w:r>
      <w:r w:rsidR="008168FD">
        <w:t>max</w:t>
      </w:r>
      <w:proofErr w:type="spellEnd"/>
      <w:r>
        <w:t xml:space="preserve"> – </w:t>
      </w:r>
      <w:r w:rsidR="008168FD">
        <w:t>najwyższa ilość punktów z pośród wszystkich ofert</w:t>
      </w:r>
    </w:p>
    <w:p w:rsidR="003F2388" w:rsidRDefault="003F2388" w:rsidP="006F4D0E">
      <w:pPr>
        <w:ind w:left="360" w:hanging="360"/>
        <w:rPr>
          <w:b/>
          <w:bCs/>
          <w:sz w:val="20"/>
          <w:szCs w:val="20"/>
          <w:lang w:eastAsia="ar-SA"/>
        </w:rPr>
      </w:pPr>
    </w:p>
    <w:p w:rsidR="003F2388" w:rsidRDefault="003F2388" w:rsidP="006F4D0E">
      <w:pPr>
        <w:ind w:left="360" w:hanging="360"/>
        <w:rPr>
          <w:b/>
          <w:bCs/>
          <w:sz w:val="20"/>
          <w:szCs w:val="20"/>
          <w:lang w:eastAsia="ar-SA"/>
        </w:rPr>
      </w:pP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rPr>
          <w:b/>
          <w:bCs/>
        </w:rPr>
        <w:t xml:space="preserve">Termin dostawy – T </w:t>
      </w:r>
      <w:r>
        <w:t xml:space="preserve">maksymalna liczba punktów do zdobycia w tym kryterium – 10 </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rPr>
          <w:b/>
          <w:bCs/>
        </w:rPr>
      </w:pPr>
      <w:r>
        <w:rPr>
          <w:b/>
          <w:bCs/>
        </w:rPr>
        <w:t>T= (</w:t>
      </w:r>
      <w:proofErr w:type="spellStart"/>
      <w:r>
        <w:rPr>
          <w:b/>
          <w:bCs/>
        </w:rPr>
        <w:t>Tmin</w:t>
      </w:r>
      <w:proofErr w:type="spellEnd"/>
      <w:r>
        <w:rPr>
          <w:b/>
          <w:bCs/>
        </w:rPr>
        <w:t>/Sof) x 10</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gdzie: T - razem ilość punktów uzyskana przez ofertę badaną</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t>Tmin</w:t>
      </w:r>
      <w:proofErr w:type="spellEnd"/>
      <w:r>
        <w:t xml:space="preserve"> –  najkrótszy termin dostawy ze wszystkich ofert</w:t>
      </w:r>
    </w:p>
    <w:p w:rsidR="006F4D0E" w:rsidRDefault="006F4D0E" w:rsidP="006F4D0E">
      <w:pPr>
        <w:pBdr>
          <w:top w:val="single" w:sz="4" w:space="1" w:color="auto"/>
          <w:left w:val="single" w:sz="4" w:space="4" w:color="auto"/>
          <w:bottom w:val="single" w:sz="4" w:space="1" w:color="auto"/>
          <w:right w:val="single" w:sz="4" w:space="4" w:color="auto"/>
        </w:pBdr>
        <w:spacing w:line="360" w:lineRule="auto"/>
      </w:pPr>
      <w:r>
        <w:t xml:space="preserve">           - </w:t>
      </w:r>
      <w:proofErr w:type="spellStart"/>
      <w:r>
        <w:t>Tof</w:t>
      </w:r>
      <w:proofErr w:type="spellEnd"/>
      <w:r>
        <w:t xml:space="preserve"> – Termin dostawy z oferty badanej </w:t>
      </w:r>
    </w:p>
    <w:p w:rsidR="006F4D0E" w:rsidRDefault="006F4D0E" w:rsidP="006F4D0E">
      <w:pPr>
        <w:ind w:left="360" w:hanging="360"/>
        <w:rPr>
          <w:b/>
          <w:bCs/>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C+J+G+</w:t>
      </w:r>
      <w:r w:rsidR="00831737">
        <w:rPr>
          <w:b/>
          <w:bCs/>
        </w:rPr>
        <w:t>S</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 xml:space="preserve">          J -ilość punktów uzyskana za jakość</w:t>
      </w:r>
    </w:p>
    <w:p w:rsidR="006F4D0E" w:rsidRDefault="006F4D0E" w:rsidP="006F4D0E">
      <w:pPr>
        <w:ind w:left="360" w:hanging="360"/>
      </w:pPr>
      <w:r>
        <w:tab/>
        <w:t xml:space="preserve"> </w:t>
      </w:r>
      <w:r w:rsidR="00831737">
        <w:t xml:space="preserve"> </w:t>
      </w:r>
      <w:r>
        <w:t xml:space="preserve"> G</w:t>
      </w:r>
      <w:r w:rsidR="00831737">
        <w:t xml:space="preserve"> </w:t>
      </w:r>
      <w:r>
        <w:t>-ilość punktów uzyskana za gwarancje</w:t>
      </w:r>
    </w:p>
    <w:p w:rsidR="00831737" w:rsidRDefault="00831737" w:rsidP="006F4D0E">
      <w:pPr>
        <w:ind w:left="360" w:hanging="360"/>
      </w:pPr>
      <w:r>
        <w:t xml:space="preserve">          S - ilość punktów uzyskana za serwis</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6F4D0E" w:rsidRDefault="006F4D0E" w:rsidP="006F4D0E">
      <w:pPr>
        <w:widowControl w:val="0"/>
        <w:autoSpaceDE w:val="0"/>
        <w:autoSpaceDN w:val="0"/>
        <w:adjustRightInd w:val="0"/>
        <w:rPr>
          <w:bCs/>
          <w:color w:val="000000"/>
        </w:rPr>
      </w:pPr>
      <w:proofErr w:type="spellStart"/>
      <w:r>
        <w:rPr>
          <w:bCs/>
          <w:color w:val="000000"/>
        </w:rPr>
        <w:t>Sporz</w:t>
      </w:r>
      <w:proofErr w:type="spellEnd"/>
      <w:r>
        <w:rPr>
          <w:bCs/>
          <w:color w:val="000000"/>
        </w:rPr>
        <w:t xml:space="preserve">. </w:t>
      </w:r>
      <w:proofErr w:type="spellStart"/>
      <w:r>
        <w:rPr>
          <w:bCs/>
          <w:color w:val="000000"/>
        </w:rPr>
        <w:t>K.Nowak</w:t>
      </w:r>
      <w:proofErr w:type="spellEnd"/>
    </w:p>
    <w:p w:rsidR="006F4D0E" w:rsidRDefault="006F4D0E" w:rsidP="006F4D0E">
      <w:pPr>
        <w:widowControl w:val="0"/>
        <w:autoSpaceDE w:val="0"/>
        <w:autoSpaceDN w:val="0"/>
        <w:adjustRightInd w:val="0"/>
      </w:pPr>
    </w:p>
    <w:p w:rsidR="006F4D0E" w:rsidRDefault="006F4D0E" w:rsidP="006F4D0E">
      <w:pPr>
        <w:rPr>
          <w:bCs/>
        </w:rPr>
      </w:pPr>
    </w:p>
    <w:p w:rsidR="006F4D0E" w:rsidRDefault="006F4D0E" w:rsidP="006F4D0E">
      <w:pPr>
        <w:rPr>
          <w:bCs/>
        </w:rPr>
      </w:pPr>
    </w:p>
    <w:p w:rsidR="006F4D0E" w:rsidRDefault="006F4D0E" w:rsidP="006F4D0E">
      <w:pPr>
        <w:rPr>
          <w:bCs/>
        </w:rPr>
      </w:pPr>
    </w:p>
    <w:p w:rsidR="006F4D0E" w:rsidRDefault="006F4D0E" w:rsidP="006F4D0E">
      <w:pPr>
        <w:rPr>
          <w:bCs/>
        </w:rPr>
      </w:pPr>
    </w:p>
    <w:p w:rsidR="006F4D0E" w:rsidRDefault="006F4D0E" w:rsidP="006F4D0E">
      <w:pPr>
        <w:widowControl w:val="0"/>
        <w:autoSpaceDE w:val="0"/>
        <w:jc w:val="both"/>
        <w:rPr>
          <w:b/>
          <w:bCs/>
          <w:sz w:val="32"/>
          <w:szCs w:val="32"/>
        </w:rPr>
      </w:pPr>
    </w:p>
    <w:p w:rsidR="006F4D0E" w:rsidRDefault="006F4D0E" w:rsidP="006F4D0E">
      <w:pPr>
        <w:widowControl w:val="0"/>
        <w:autoSpaceDE w:val="0"/>
        <w:jc w:val="both"/>
        <w:rPr>
          <w:b/>
          <w:bCs/>
          <w:sz w:val="32"/>
          <w:szCs w:val="32"/>
        </w:rPr>
      </w:pPr>
    </w:p>
    <w:p w:rsidR="00021627" w:rsidRDefault="00021627" w:rsidP="006F4D0E">
      <w:pPr>
        <w:ind w:hanging="180"/>
        <w:jc w:val="both"/>
      </w:pPr>
    </w:p>
    <w:sectPr w:rsidR="00021627" w:rsidSect="003F2388">
      <w:headerReference w:type="default" r:id="rId8"/>
      <w:pgSz w:w="11906" w:h="16838"/>
      <w:pgMar w:top="1417" w:right="849"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2E3131"/>
    <w:rsid w:val="002E5C0E"/>
    <w:rsid w:val="003F2388"/>
    <w:rsid w:val="004E0BBE"/>
    <w:rsid w:val="00527C08"/>
    <w:rsid w:val="00543E41"/>
    <w:rsid w:val="005505C5"/>
    <w:rsid w:val="0057076A"/>
    <w:rsid w:val="005F10C7"/>
    <w:rsid w:val="006177B0"/>
    <w:rsid w:val="006F4D0E"/>
    <w:rsid w:val="00723FD4"/>
    <w:rsid w:val="008168FD"/>
    <w:rsid w:val="00831737"/>
    <w:rsid w:val="00902B59"/>
    <w:rsid w:val="00913AC6"/>
    <w:rsid w:val="00955AA6"/>
    <w:rsid w:val="00A1088A"/>
    <w:rsid w:val="00C35F08"/>
    <w:rsid w:val="00C86961"/>
    <w:rsid w:val="00CF54E3"/>
    <w:rsid w:val="00D920E2"/>
    <w:rsid w:val="00DE1ED6"/>
    <w:rsid w:val="00DE1F1D"/>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55088CF"/>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3699</Words>
  <Characters>24756</Characters>
  <Application>Microsoft Office Word</Application>
  <DocSecurity>0</DocSecurity>
  <Lines>206</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13</cp:revision>
  <cp:lastPrinted>2019-05-06T06:04:00Z</cp:lastPrinted>
  <dcterms:created xsi:type="dcterms:W3CDTF">2018-05-25T07:52:00Z</dcterms:created>
  <dcterms:modified xsi:type="dcterms:W3CDTF">2019-05-13T10:13:00Z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