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7C4F29"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567846">
        <w:rPr>
          <w:b/>
          <w:bCs/>
        </w:rPr>
        <w:t>-</w:t>
      </w:r>
      <w:r w:rsidR="00187EF8">
        <w:rPr>
          <w:b/>
          <w:bCs/>
        </w:rPr>
        <w:t>30/</w:t>
      </w:r>
      <w:r>
        <w:rPr>
          <w:b/>
          <w:bCs/>
        </w:rPr>
        <w:t>1</w:t>
      </w:r>
      <w:r w:rsidR="00CA23DE">
        <w:rPr>
          <w:b/>
          <w:bCs/>
        </w:rPr>
        <w:t>9</w:t>
      </w:r>
      <w:r>
        <w:rPr>
          <w:b/>
          <w:bCs/>
        </w:rPr>
        <w:t>/</w:t>
      </w:r>
      <w:r w:rsidR="00567846">
        <w:rPr>
          <w:b/>
          <w:bCs/>
        </w:rPr>
        <w:t>UE/SOR</w:t>
      </w:r>
      <w:r>
        <w:rPr>
          <w:b/>
          <w:bCs/>
        </w:rPr>
        <w:tab/>
        <w:t xml:space="preserve">         Brzesko </w:t>
      </w:r>
      <w:r w:rsidR="00567846">
        <w:rPr>
          <w:b/>
          <w:bCs/>
        </w:rPr>
        <w:t>07</w:t>
      </w:r>
      <w:r>
        <w:rPr>
          <w:b/>
          <w:bCs/>
        </w:rPr>
        <w:t>.</w:t>
      </w:r>
      <w:r w:rsidR="00CA23DE">
        <w:rPr>
          <w:b/>
          <w:bCs/>
        </w:rPr>
        <w:t>0</w:t>
      </w:r>
      <w:r w:rsidR="006A44DE">
        <w:rPr>
          <w:b/>
          <w:bCs/>
        </w:rPr>
        <w:t>5</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sidR="00187EF8">
        <w:rPr>
          <w:b/>
          <w:bCs/>
          <w:color w:val="000000"/>
          <w:sz w:val="22"/>
          <w:szCs w:val="22"/>
        </w:rPr>
        <w:t xml:space="preserve"> z późn.zm</w:t>
      </w:r>
      <w:r w:rsidR="001E5F9E">
        <w:rPr>
          <w:b/>
          <w:bCs/>
          <w:color w:val="000000"/>
          <w:sz w:val="22"/>
          <w:szCs w:val="22"/>
        </w:rPr>
        <w:t>.</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36369E" w:rsidRDefault="005278F6" w:rsidP="0017056F">
      <w:pPr>
        <w:widowControl w:val="0"/>
        <w:autoSpaceDE w:val="0"/>
        <w:autoSpaceDN w:val="0"/>
        <w:adjustRightInd w:val="0"/>
        <w:jc w:val="both"/>
        <w:rPr>
          <w:color w:val="FF0000"/>
        </w:rPr>
      </w:pPr>
      <w:bookmarkStart w:id="0" w:name="_Hlk519241255"/>
      <w:r>
        <w:t>Zadanie realizowane jest w ramach Umowy o dofinansowanie Projektu:</w:t>
      </w:r>
      <w:r>
        <w:rPr>
          <w:b/>
          <w:bCs/>
          <w:i/>
          <w:iCs/>
        </w:rPr>
        <w:t xml:space="preserve"> </w:t>
      </w:r>
      <w:r w:rsidR="0036369E">
        <w:rPr>
          <w:b/>
          <w:bCs/>
          <w:i/>
          <w:iCs/>
        </w:rPr>
        <w:t>„</w:t>
      </w:r>
      <w:r w:rsidR="00567846">
        <w:rPr>
          <w:b/>
          <w:bCs/>
          <w:i/>
          <w:iCs/>
        </w:rPr>
        <w:t>Dofinansowanie zakupu sprzętu medycznego dla Szpitalnego Oddziału Ratunkowego w Samodzielnym Publicznym Zespole Opieki Zdrowotnej w Brzesku</w:t>
      </w:r>
      <w:r w:rsidR="0036369E">
        <w:rPr>
          <w:b/>
          <w:bCs/>
          <w:i/>
          <w:iCs/>
        </w:rPr>
        <w:t>”</w:t>
      </w:r>
      <w:r w:rsidR="0036369E">
        <w:rPr>
          <w:bCs/>
          <w:iCs/>
        </w:rPr>
        <w:t xml:space="preserve"> Nr POIS.09.01.00-00-0341/18</w:t>
      </w:r>
      <w:r w:rsidR="00567846">
        <w:rPr>
          <w:b/>
          <w:bCs/>
          <w:i/>
          <w:iCs/>
        </w:rPr>
        <w:t xml:space="preserve"> </w:t>
      </w:r>
      <w:r w:rsidRPr="0036369E">
        <w:t>w ramach</w:t>
      </w:r>
      <w:r w:rsidRPr="00567846">
        <w:rPr>
          <w:color w:val="FF0000"/>
        </w:rPr>
        <w:t xml:space="preserve"> </w:t>
      </w:r>
      <w:r w:rsidR="0036369E" w:rsidRPr="0036369E">
        <w:t xml:space="preserve">działania </w:t>
      </w:r>
      <w:r w:rsidR="0036369E">
        <w:t>9.1 Infrastruktura ratownictwa medycznego oś priorytetowa IX Wzmocnienie strategicznej Infrastruktury ochrony zdrowia Programu Operacyjnego Infrastruktura i Środowisko 2014-2020</w:t>
      </w:r>
      <w:r w:rsidR="003133CE">
        <w:t>.</w:t>
      </w:r>
    </w:p>
    <w:p w:rsidR="0036369E" w:rsidRDefault="0036369E" w:rsidP="0017056F">
      <w:pPr>
        <w:widowControl w:val="0"/>
        <w:autoSpaceDE w:val="0"/>
        <w:autoSpaceDN w:val="0"/>
        <w:adjustRightInd w:val="0"/>
        <w:jc w:val="both"/>
        <w:rPr>
          <w:color w:val="FF0000"/>
        </w:rPr>
      </w:pPr>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CA23DE">
        <w:rPr>
          <w:b/>
          <w:bCs/>
          <w:sz w:val="28"/>
          <w:szCs w:val="28"/>
        </w:rPr>
        <w:t>Urządze</w:t>
      </w:r>
      <w:r w:rsidR="006A44DE">
        <w:rPr>
          <w:b/>
          <w:bCs/>
          <w:sz w:val="28"/>
          <w:szCs w:val="28"/>
        </w:rPr>
        <w:t>ń</w:t>
      </w:r>
      <w:r w:rsidR="00567846">
        <w:rPr>
          <w:b/>
          <w:bCs/>
          <w:sz w:val="28"/>
          <w:szCs w:val="28"/>
        </w:rPr>
        <w:t xml:space="preserve"> medyczn</w:t>
      </w:r>
      <w:r w:rsidR="006A44DE">
        <w:rPr>
          <w:b/>
          <w:bCs/>
          <w:sz w:val="28"/>
          <w:szCs w:val="28"/>
        </w:rPr>
        <w:t>ych</w:t>
      </w:r>
      <w:r w:rsidR="00CA23DE">
        <w:rPr>
          <w:b/>
          <w:bCs/>
          <w:sz w:val="28"/>
          <w:szCs w:val="28"/>
        </w:rPr>
        <w:t xml:space="preserve"> </w:t>
      </w:r>
    </w:p>
    <w:p w:rsidR="007C2317" w:rsidRDefault="007C2317" w:rsidP="007C2317"/>
    <w:p w:rsidR="007C2317" w:rsidRDefault="007C2317" w:rsidP="007C2317"/>
    <w:p w:rsidR="007C2317" w:rsidRPr="004E7D12" w:rsidRDefault="00355EA0" w:rsidP="007C2317">
      <w:r>
        <w:t xml:space="preserve">   </w:t>
      </w:r>
      <w:r w:rsidR="00567846">
        <w:t>kod CPV 33100000-1  Urządzenia medyczne</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00567846" w:rsidRPr="00567846">
        <w:rPr>
          <w:b/>
          <w:bCs/>
        </w:rPr>
        <w:t>S</w:t>
      </w:r>
      <w:r w:rsidR="00567846" w:rsidRPr="00567846">
        <w:rPr>
          <w:b/>
          <w:bCs/>
          <w:iCs/>
        </w:rPr>
        <w:t>przętu medycznego dla Szpitalnego Oddziału Ratunkowego w Samodzielnym Publicznym Zespole Opieki Zdrowotnej w Brzesku,</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Pr="00436CB4" w:rsidRDefault="007C2317" w:rsidP="00463C8F">
      <w:pPr>
        <w:ind w:left="567" w:hanging="283"/>
        <w:jc w:val="both"/>
        <w:rPr>
          <w:b/>
          <w:bCs/>
          <w:color w:val="000000"/>
        </w:rPr>
      </w:pPr>
      <w:bookmarkStart w:id="1" w:name="_Hlk504719007"/>
      <w:r>
        <w:rPr>
          <w:b/>
        </w:rPr>
        <w:t>1)</w:t>
      </w:r>
      <w:r>
        <w:rPr>
          <w:b/>
        </w:rPr>
        <w:tab/>
      </w:r>
      <w:r w:rsidR="00463C8F">
        <w:rPr>
          <w:b/>
        </w:rPr>
        <w:t xml:space="preserve">Przedmiotem zamówienia jest dostawa urządzeń medycznych – Aparatu ultrasonograficznego oraz Aparatu do powierzchniowego ogrzewania pacjenta, przeznaczonych na wyposażenie Szpitalnego Oddziału Ratunkowego. </w:t>
      </w:r>
      <w:bookmarkEnd w:id="1"/>
    </w:p>
    <w:p w:rsidR="00355EA0" w:rsidRDefault="007C2317" w:rsidP="00463C8F">
      <w:pPr>
        <w:tabs>
          <w:tab w:val="left" w:pos="567"/>
        </w:tabs>
        <w:autoSpaceDE w:val="0"/>
        <w:autoSpaceDN w:val="0"/>
        <w:adjustRightInd w:val="0"/>
        <w:ind w:left="567" w:hanging="283"/>
        <w:jc w:val="both"/>
      </w:pPr>
      <w:r>
        <w:t>2)</w:t>
      </w:r>
      <w:r>
        <w:tab/>
      </w:r>
      <w:r w:rsidR="00355EA0">
        <w:t>Przedmiot zamówienia został podzielony na zadania:</w:t>
      </w:r>
    </w:p>
    <w:p w:rsidR="00355EA0" w:rsidRPr="00567846" w:rsidRDefault="00355EA0" w:rsidP="00463C8F">
      <w:pPr>
        <w:tabs>
          <w:tab w:val="left" w:pos="567"/>
        </w:tabs>
        <w:autoSpaceDE w:val="0"/>
        <w:autoSpaceDN w:val="0"/>
        <w:adjustRightInd w:val="0"/>
        <w:ind w:left="567" w:hanging="283"/>
        <w:jc w:val="both"/>
        <w:rPr>
          <w:b/>
        </w:rPr>
      </w:pPr>
      <w:r>
        <w:t xml:space="preserve"> </w:t>
      </w:r>
      <w:r w:rsidR="00463C8F">
        <w:t xml:space="preserve">     </w:t>
      </w:r>
      <w:r>
        <w:t xml:space="preserve">Zadanie nr: 1 – kod CPV </w:t>
      </w:r>
      <w:r w:rsidR="00CA23DE">
        <w:t>331</w:t>
      </w:r>
      <w:r w:rsidR="00463C8F">
        <w:t>90000-8</w:t>
      </w:r>
      <w:r w:rsidR="00CA23DE">
        <w:t xml:space="preserve"> </w:t>
      </w:r>
      <w:r w:rsidR="00463C8F">
        <w:t xml:space="preserve">Różne urządzenia i produkty medyczne- </w:t>
      </w:r>
      <w:r w:rsidR="00463C8F">
        <w:rPr>
          <w:b/>
        </w:rPr>
        <w:t>Aparat do powierzchniowego ogrzewania pacjenta</w:t>
      </w:r>
      <w:r w:rsidR="00567846">
        <w:rPr>
          <w:b/>
        </w:rPr>
        <w:t xml:space="preserve"> - </w:t>
      </w:r>
      <w:proofErr w:type="spellStart"/>
      <w:r w:rsidR="00463C8F">
        <w:rPr>
          <w:b/>
        </w:rPr>
        <w:t>kpl</w:t>
      </w:r>
      <w:proofErr w:type="spellEnd"/>
      <w:r w:rsidR="00567846">
        <w:rPr>
          <w:b/>
        </w:rPr>
        <w:t xml:space="preserve"> 1</w:t>
      </w:r>
      <w:r w:rsidR="00463C8F">
        <w:rPr>
          <w:b/>
        </w:rPr>
        <w:t>;</w:t>
      </w:r>
    </w:p>
    <w:p w:rsidR="00355EA0" w:rsidRPr="00463C8F" w:rsidRDefault="00355EA0" w:rsidP="00463C8F">
      <w:pPr>
        <w:tabs>
          <w:tab w:val="left" w:pos="567"/>
        </w:tabs>
        <w:autoSpaceDE w:val="0"/>
        <w:autoSpaceDN w:val="0"/>
        <w:adjustRightInd w:val="0"/>
        <w:ind w:left="567" w:hanging="283"/>
        <w:jc w:val="both"/>
        <w:rPr>
          <w:b/>
        </w:rPr>
      </w:pPr>
      <w:r>
        <w:tab/>
        <w:t xml:space="preserve">Zadanie nr: 2 – kod CPV </w:t>
      </w:r>
      <w:r w:rsidR="00CA23DE">
        <w:t>331</w:t>
      </w:r>
      <w:r w:rsidR="00463C8F">
        <w:t xml:space="preserve">12200-0 Aparaty ultrasonograficzne – </w:t>
      </w:r>
      <w:r w:rsidR="00463C8F" w:rsidRPr="00463C8F">
        <w:rPr>
          <w:b/>
        </w:rPr>
        <w:t xml:space="preserve">Aparat ultrasonograficzny – </w:t>
      </w:r>
      <w:proofErr w:type="spellStart"/>
      <w:r w:rsidR="00463C8F" w:rsidRPr="00463C8F">
        <w:rPr>
          <w:b/>
        </w:rPr>
        <w:t>kpl</w:t>
      </w:r>
      <w:proofErr w:type="spellEnd"/>
      <w:r w:rsidR="00463C8F" w:rsidRPr="00463C8F">
        <w:rPr>
          <w:b/>
        </w:rPr>
        <w:t xml:space="preserve"> 1. </w:t>
      </w:r>
    </w:p>
    <w:p w:rsidR="00355EA0" w:rsidRDefault="00355EA0" w:rsidP="00463C8F">
      <w:pPr>
        <w:tabs>
          <w:tab w:val="left" w:pos="567"/>
        </w:tabs>
        <w:autoSpaceDE w:val="0"/>
        <w:autoSpaceDN w:val="0"/>
        <w:adjustRightInd w:val="0"/>
        <w:ind w:left="567" w:hanging="283"/>
        <w:jc w:val="both"/>
      </w:pPr>
      <w:r>
        <w:tab/>
      </w:r>
      <w:r w:rsidR="00567846">
        <w:rPr>
          <w:b/>
        </w:rPr>
        <w:t xml:space="preserve"> </w:t>
      </w:r>
    </w:p>
    <w:p w:rsidR="007C2317" w:rsidRDefault="008E1A01" w:rsidP="00463C8F">
      <w:pPr>
        <w:tabs>
          <w:tab w:val="left" w:pos="567"/>
        </w:tabs>
        <w:autoSpaceDE w:val="0"/>
        <w:autoSpaceDN w:val="0"/>
        <w:adjustRightInd w:val="0"/>
        <w:ind w:left="567" w:hanging="283"/>
        <w:jc w:val="both"/>
      </w:pPr>
      <w:r>
        <w:t>3)</w:t>
      </w:r>
      <w:r w:rsidR="00463C8F">
        <w:t xml:space="preserve"> </w:t>
      </w:r>
      <w:r w:rsidR="007C2317" w:rsidRPr="00436CB4">
        <w:t>Szczegółowy opis przedmiotu zamówienia przedstawia Załącznik nr:1 do niniejszej SIWZ.</w:t>
      </w:r>
    </w:p>
    <w:p w:rsidR="008E1A01" w:rsidRPr="00436CB4" w:rsidRDefault="008E1A01" w:rsidP="00463C8F">
      <w:pPr>
        <w:pStyle w:val="Nagwek"/>
        <w:tabs>
          <w:tab w:val="clear" w:pos="4536"/>
          <w:tab w:val="clear" w:pos="9072"/>
          <w:tab w:val="left" w:pos="0"/>
          <w:tab w:val="left" w:pos="567"/>
        </w:tabs>
        <w:autoSpaceDE w:val="0"/>
        <w:autoSpaceDN w:val="0"/>
        <w:adjustRightInd w:val="0"/>
      </w:pPr>
    </w:p>
    <w:p w:rsidR="007C2317" w:rsidRPr="00436CB4" w:rsidRDefault="007C2317" w:rsidP="00463C8F">
      <w:pPr>
        <w:tabs>
          <w:tab w:val="left" w:pos="0"/>
        </w:tabs>
        <w:autoSpaceDE w:val="0"/>
        <w:autoSpaceDN w:val="0"/>
        <w:adjustRightInd w:val="0"/>
        <w:jc w:val="both"/>
        <w:rPr>
          <w:b/>
          <w:bCs/>
        </w:rPr>
      </w:pPr>
      <w:r w:rsidRPr="00436CB4">
        <w:rPr>
          <w:b/>
          <w:bCs/>
          <w:color w:val="000000"/>
        </w:rPr>
        <w:t xml:space="preserve">  </w:t>
      </w:r>
      <w:r w:rsidRPr="00436CB4">
        <w:rPr>
          <w:b/>
          <w:bCs/>
        </w:rPr>
        <w:t>4.</w:t>
      </w:r>
      <w:r>
        <w:rPr>
          <w:b/>
          <w:bCs/>
        </w:rPr>
        <w:t xml:space="preserve">  1</w:t>
      </w:r>
      <w:r w:rsidRPr="00436CB4">
        <w:rPr>
          <w:b/>
          <w:bCs/>
        </w:rPr>
        <w:t>)</w:t>
      </w:r>
      <w:r w:rsidR="00463C8F">
        <w:rPr>
          <w:b/>
          <w:bCs/>
        </w:rPr>
        <w:t xml:space="preserve"> </w:t>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463C8F" w:rsidP="007C2317">
      <w:pPr>
        <w:tabs>
          <w:tab w:val="left" w:pos="567"/>
        </w:tabs>
        <w:ind w:left="284"/>
        <w:rPr>
          <w:b/>
        </w:rPr>
      </w:pPr>
      <w:r>
        <w:rPr>
          <w:b/>
        </w:rPr>
        <w:t xml:space="preserve"> </w:t>
      </w:r>
      <w:r w:rsidR="007C2317">
        <w:rPr>
          <w:b/>
        </w:rPr>
        <w:t>2</w:t>
      </w:r>
      <w:r w:rsidR="007C2317" w:rsidRPr="00436CB4">
        <w:rPr>
          <w:b/>
        </w:rPr>
        <w:t>)</w:t>
      </w:r>
      <w:r w:rsidR="007C2317">
        <w:rPr>
          <w:b/>
        </w:rPr>
        <w:tab/>
      </w:r>
      <w:r w:rsidR="007C2317"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do </w:t>
      </w:r>
      <w:r w:rsidR="00463C8F">
        <w:rPr>
          <w:kern w:val="20"/>
        </w:rPr>
        <w:t>30</w:t>
      </w:r>
      <w:r>
        <w:rPr>
          <w:kern w:val="20"/>
        </w:rPr>
        <w:t xml:space="preserve"> dni 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567846">
        <w:t>3</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lastRenderedPageBreak/>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7C4F29">
        <w:t>9</w:t>
      </w:r>
      <w:r w:rsidRPr="006C4C0F">
        <w:t xml:space="preserve"> r. poz. </w:t>
      </w:r>
      <w:r w:rsidR="007C4F29">
        <w:t>243</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C4F29">
        <w:t>9</w:t>
      </w:r>
      <w:r w:rsidRPr="006C4C0F">
        <w:t xml:space="preserve"> r. poz. </w:t>
      </w:r>
      <w:r w:rsidR="00B158BD">
        <w:t>4</w:t>
      </w:r>
      <w:r w:rsidR="007C4F29">
        <w:t>98</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lastRenderedPageBreak/>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AA1A3F"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jc w:val="center"/>
              <w:rPr>
                <w:b/>
                <w:bCs/>
                <w:color w:val="000000"/>
              </w:rPr>
            </w:pPr>
            <w:r>
              <w:rPr>
                <w:b/>
                <w:b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r>
              <w:rPr>
                <w:color w:val="000000"/>
              </w:rPr>
              <w:t>Prospekty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AA1A3F" w:rsidRPr="00B4061D" w:rsidRDefault="00AA1A3F" w:rsidP="000F0F80">
            <w:pPr>
              <w:ind w:firstLine="81"/>
            </w:pPr>
            <w:r>
              <w:t xml:space="preserve">Katalogi, prospekty potwierdzające </w:t>
            </w:r>
            <w:r w:rsidR="00EB3B58">
              <w:t xml:space="preserve"> parametry </w:t>
            </w:r>
            <w:r>
              <w:t xml:space="preserve">urządzenia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p>
          <w:p w:rsidR="00AA1A3F" w:rsidRDefault="00AA1A3F" w:rsidP="000F0F80">
            <w:pPr>
              <w:widowControl w:val="0"/>
              <w:autoSpaceDE w:val="0"/>
              <w:autoSpaceDN w:val="0"/>
              <w:adjustRightInd w:val="0"/>
              <w:rPr>
                <w:color w:val="000000"/>
              </w:rPr>
            </w:pPr>
          </w:p>
          <w:p w:rsidR="00AA1A3F" w:rsidRPr="00987D23" w:rsidRDefault="00AA1A3F" w:rsidP="000F0F80">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w:t>
      </w:r>
      <w:r w:rsidRPr="00A378DA">
        <w:rPr>
          <w:color w:val="000000"/>
        </w:rPr>
        <w:lastRenderedPageBreak/>
        <w:t>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lastRenderedPageBreak/>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w:t>
      </w:r>
      <w:r w:rsidR="007C4F29">
        <w:t xml:space="preserve"> z dnia 16 kwietnia 1993 r.</w:t>
      </w:r>
      <w:bookmarkStart w:id="2" w:name="_GoBack"/>
      <w:bookmarkEnd w:id="2"/>
      <w:r>
        <w:t xml:space="preserve"> ( Dz. U. z  20</w:t>
      </w:r>
      <w:r w:rsidR="007C4F29">
        <w:t>18</w:t>
      </w:r>
      <w:r>
        <w:t xml:space="preserve"> r. poz. </w:t>
      </w:r>
      <w:r w:rsidR="007C4F29">
        <w:t>419</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594EEC">
      <w:pPr>
        <w:widowControl w:val="0"/>
        <w:numPr>
          <w:ilvl w:val="0"/>
          <w:numId w:val="9"/>
        </w:numPr>
        <w:tabs>
          <w:tab w:val="clear" w:pos="552"/>
        </w:tabs>
        <w:suppressAutoHyphens w:val="0"/>
        <w:autoSpaceDE w:val="0"/>
        <w:autoSpaceDN w:val="0"/>
        <w:adjustRightInd w:val="0"/>
        <w:ind w:left="1276" w:hanging="283"/>
        <w:jc w:val="both"/>
      </w:pPr>
      <w:r>
        <w:t>ma charakter techniczny, technologiczny lub organizacyjny przedsiębiorstwa</w:t>
      </w:r>
      <w:r w:rsidR="00B33AE8">
        <w:t xml:space="preserve"> lub informacj</w:t>
      </w:r>
      <w:r w:rsidR="00594EEC">
        <w:t xml:space="preserve">i </w:t>
      </w:r>
      <w:r w:rsidR="00B33AE8">
        <w:t>w mające wartość gospodarczą</w:t>
      </w:r>
      <w:r>
        <w:t>,</w:t>
      </w:r>
    </w:p>
    <w:p w:rsidR="007C2317" w:rsidRDefault="007C2317" w:rsidP="00594EEC">
      <w:pPr>
        <w:widowControl w:val="0"/>
        <w:numPr>
          <w:ilvl w:val="0"/>
          <w:numId w:val="9"/>
        </w:numPr>
        <w:tabs>
          <w:tab w:val="clear" w:pos="552"/>
          <w:tab w:val="num" w:pos="1276"/>
        </w:tabs>
        <w:suppressAutoHyphens w:val="0"/>
        <w:autoSpaceDE w:val="0"/>
        <w:autoSpaceDN w:val="0"/>
        <w:adjustRightInd w:val="0"/>
        <w:ind w:left="1276" w:hanging="283"/>
        <w:jc w:val="both"/>
      </w:pPr>
      <w:r>
        <w:t>nie została wykorzystana do wiadomości publicznej</w:t>
      </w:r>
      <w:r w:rsidR="00594EEC">
        <w:t xml:space="preserve"> i nie jest powszechnie znana osobom zwykle  zajmującym się tym rodzajem informacji albo nie jest łatwo dostępna dla takich osób</w:t>
      </w:r>
      <w:r>
        <w:t>,</w:t>
      </w:r>
    </w:p>
    <w:p w:rsidR="007C2317" w:rsidRDefault="007C2317" w:rsidP="00594EEC">
      <w:pPr>
        <w:widowControl w:val="0"/>
        <w:numPr>
          <w:ilvl w:val="0"/>
          <w:numId w:val="9"/>
        </w:numPr>
        <w:tabs>
          <w:tab w:val="left" w:pos="1276"/>
        </w:tabs>
        <w:suppressAutoHyphens w:val="0"/>
        <w:autoSpaceDE w:val="0"/>
        <w:autoSpaceDN w:val="0"/>
        <w:adjustRightInd w:val="0"/>
        <w:ind w:firstLine="441"/>
        <w:jc w:val="both"/>
      </w:pPr>
      <w:r>
        <w:t>podjęto w stosunku do niej niezbędne działania w celu zachowania poufałości.</w:t>
      </w:r>
    </w:p>
    <w:p w:rsidR="00594EEC" w:rsidRDefault="00594EEC" w:rsidP="00594EEC">
      <w:pPr>
        <w:widowControl w:val="0"/>
        <w:numPr>
          <w:ilvl w:val="0"/>
          <w:numId w:val="9"/>
        </w:numPr>
        <w:tabs>
          <w:tab w:val="clear" w:pos="552"/>
          <w:tab w:val="left" w:pos="993"/>
          <w:tab w:val="num" w:pos="1276"/>
        </w:tabs>
        <w:suppressAutoHyphens w:val="0"/>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594EEC" w:rsidRDefault="00594EEC" w:rsidP="00594EEC">
      <w:pPr>
        <w:widowControl w:val="0"/>
        <w:tabs>
          <w:tab w:val="left" w:pos="993"/>
        </w:tabs>
        <w:suppressAutoHyphens w:val="0"/>
        <w:autoSpaceDE w:val="0"/>
        <w:autoSpaceDN w:val="0"/>
        <w:adjustRightInd w:val="0"/>
        <w:ind w:left="1276"/>
        <w:jc w:val="both"/>
      </w:pPr>
    </w:p>
    <w:p w:rsidR="007C2317" w:rsidRPr="00666FB9" w:rsidRDefault="00594EEC" w:rsidP="00594EEC">
      <w:pPr>
        <w:widowControl w:val="0"/>
        <w:suppressAutoHyphens w:val="0"/>
        <w:autoSpaceDE w:val="0"/>
        <w:autoSpaceDN w:val="0"/>
        <w:adjustRightInd w:val="0"/>
        <w:ind w:left="993" w:hanging="709"/>
        <w:jc w:val="both"/>
      </w:pPr>
      <w:r>
        <w:t xml:space="preserve">10) </w:t>
      </w:r>
      <w:r w:rsidR="007C2317">
        <w:t xml:space="preserve">Wykonawca nie może zastrzec informacji, o których mowa w art. 86 ust.4 ustawy </w:t>
      </w:r>
      <w:proofErr w:type="spellStart"/>
      <w:r w:rsidR="007C2317">
        <w:t>Pzp</w:t>
      </w:r>
      <w:proofErr w:type="spellEnd"/>
      <w:r w:rsidR="007C2317">
        <w:t>.</w:t>
      </w:r>
    </w:p>
    <w:p w:rsidR="007C2317" w:rsidRPr="00787A2D" w:rsidRDefault="007C2317" w:rsidP="007C2317">
      <w:pPr>
        <w:widowControl w:val="0"/>
        <w:autoSpaceDE w:val="0"/>
        <w:autoSpaceDN w:val="0"/>
        <w:adjustRightInd w:val="0"/>
        <w:ind w:left="480" w:hanging="480"/>
        <w:jc w:val="both"/>
      </w:pPr>
    </w:p>
    <w:p w:rsidR="007C2317" w:rsidRPr="00787A2D" w:rsidRDefault="00594EEC" w:rsidP="00594EEC">
      <w:pPr>
        <w:widowControl w:val="0"/>
        <w:suppressAutoHyphens w:val="0"/>
        <w:autoSpaceDE w:val="0"/>
        <w:autoSpaceDN w:val="0"/>
        <w:adjustRightInd w:val="0"/>
        <w:ind w:left="360"/>
        <w:jc w:val="both"/>
        <w:rPr>
          <w:b/>
          <w:bCs/>
        </w:rPr>
      </w:pPr>
      <w:r>
        <w:rPr>
          <w:bCs/>
          <w:iCs/>
        </w:rPr>
        <w:t xml:space="preserve">11) </w:t>
      </w:r>
      <w:r w:rsidR="007C2317">
        <w:rPr>
          <w:bCs/>
          <w:iCs/>
        </w:rPr>
        <w:t>w</w:t>
      </w:r>
      <w:r w:rsidR="007C2317" w:rsidRPr="007B5F96">
        <w:rPr>
          <w:bCs/>
          <w:iCs/>
        </w:rPr>
        <w:t xml:space="preserve">ykluczenie wykonawców z toczącego się postępowania o udzielenie zamówienia publicznego </w:t>
      </w:r>
      <w:r w:rsidR="007C2317">
        <w:rPr>
          <w:bCs/>
          <w:iCs/>
        </w:rPr>
        <w:t>następuje w przy</w:t>
      </w:r>
      <w:r w:rsidR="007C2317" w:rsidRPr="007B5F96">
        <w:rPr>
          <w:bCs/>
          <w:iCs/>
        </w:rPr>
        <w:t>padkach określonych odpowiednio w art. 24</w:t>
      </w:r>
      <w:r w:rsidR="007C2317">
        <w:rPr>
          <w:bCs/>
          <w:iCs/>
        </w:rPr>
        <w:t xml:space="preserve"> </w:t>
      </w:r>
      <w:r w:rsidR="007C2317" w:rsidRPr="007320F1">
        <w:rPr>
          <w:bCs/>
          <w:iCs/>
        </w:rPr>
        <w:t xml:space="preserve">ustawy </w:t>
      </w:r>
      <w:proofErr w:type="spellStart"/>
      <w:r w:rsidR="007C2317" w:rsidRPr="007320F1">
        <w:rPr>
          <w:bCs/>
          <w:iCs/>
        </w:rPr>
        <w:t>Pzp</w:t>
      </w:r>
      <w:proofErr w:type="spellEnd"/>
      <w:r w:rsidR="007C2317"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A610E6">
        <w:rPr>
          <w:b/>
          <w:color w:val="000000"/>
        </w:rPr>
        <w:t>1</w:t>
      </w:r>
      <w:r w:rsidR="00DE02FB">
        <w:rPr>
          <w:b/>
          <w:color w:val="000000"/>
        </w:rPr>
        <w:t>5</w:t>
      </w:r>
      <w:r w:rsidRPr="00FE1475">
        <w:rPr>
          <w:b/>
          <w:color w:val="000000"/>
        </w:rPr>
        <w:t>.</w:t>
      </w:r>
      <w:r w:rsidR="007003CE">
        <w:rPr>
          <w:b/>
          <w:color w:val="000000"/>
        </w:rPr>
        <w:t>0</w:t>
      </w:r>
      <w:r w:rsidR="00DE02FB">
        <w:rPr>
          <w:b/>
          <w:color w:val="000000"/>
        </w:rPr>
        <w:t>5</w:t>
      </w:r>
      <w:r w:rsidRPr="00987D23">
        <w:rPr>
          <w:b/>
          <w:bCs/>
          <w:color w:val="000000"/>
        </w:rPr>
        <w:t>.201</w:t>
      </w:r>
      <w:r w:rsidR="007003C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A610E6">
        <w:rPr>
          <w:b/>
          <w:bCs/>
          <w:color w:val="000000"/>
        </w:rPr>
        <w:t>1</w:t>
      </w:r>
      <w:r w:rsidR="00DE02FB">
        <w:rPr>
          <w:b/>
          <w:bCs/>
          <w:color w:val="000000"/>
        </w:rPr>
        <w:t>5</w:t>
      </w:r>
      <w:r>
        <w:rPr>
          <w:b/>
          <w:bCs/>
          <w:color w:val="000000"/>
        </w:rPr>
        <w:t>.</w:t>
      </w:r>
      <w:r w:rsidR="007003CE">
        <w:rPr>
          <w:b/>
          <w:bCs/>
          <w:color w:val="000000"/>
        </w:rPr>
        <w:t>0</w:t>
      </w:r>
      <w:r w:rsidR="00DE02FB">
        <w:rPr>
          <w:b/>
          <w:bCs/>
          <w:color w:val="000000"/>
        </w:rPr>
        <w:t>5</w:t>
      </w:r>
      <w:r>
        <w:rPr>
          <w:b/>
          <w:bCs/>
          <w:color w:val="000000"/>
        </w:rPr>
        <w:t>.201</w:t>
      </w:r>
      <w:r w:rsidR="007003C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lastRenderedPageBreak/>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lastRenderedPageBreak/>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7003CE" w:rsidRDefault="007003CE" w:rsidP="007C2317">
      <w:pPr>
        <w:widowControl w:val="0"/>
        <w:autoSpaceDE w:val="0"/>
        <w:autoSpaceDN w:val="0"/>
        <w:adjustRightInd w:val="0"/>
        <w:ind w:left="284" w:firstLine="142"/>
        <w:jc w:val="both"/>
        <w:rPr>
          <w:b/>
          <w:bCs/>
          <w:color w:val="000000"/>
        </w:rPr>
      </w:pPr>
      <w:r>
        <w:rPr>
          <w:b/>
          <w:bCs/>
          <w:color w:val="000000"/>
        </w:rPr>
        <w:t>Jakość- 20%</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7003CE">
        <w:rPr>
          <w:b/>
          <w:bCs/>
          <w:color w:val="000000"/>
        </w:rPr>
        <w:t>1</w:t>
      </w:r>
      <w:r>
        <w:rPr>
          <w:b/>
          <w:bCs/>
          <w:color w:val="000000"/>
        </w:rPr>
        <w:t>0%,</w:t>
      </w:r>
    </w:p>
    <w:p w:rsidR="007003CE" w:rsidRDefault="007003CE" w:rsidP="007C2317">
      <w:pPr>
        <w:widowControl w:val="0"/>
        <w:autoSpaceDE w:val="0"/>
        <w:autoSpaceDN w:val="0"/>
        <w:adjustRightInd w:val="0"/>
        <w:ind w:left="284" w:firstLine="142"/>
        <w:jc w:val="both"/>
        <w:rPr>
          <w:b/>
          <w:bCs/>
          <w:color w:val="000000"/>
        </w:rPr>
      </w:pPr>
      <w:r>
        <w:rPr>
          <w:b/>
          <w:bCs/>
          <w:color w:val="000000"/>
        </w:rPr>
        <w:t>Serwis – 10%</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t xml:space="preserve">                        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C2317" w:rsidRDefault="007C2317" w:rsidP="000F0F80">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Pr>
          <w:b/>
          <w:bCs/>
        </w:rPr>
        <w:t>Jakość</w:t>
      </w:r>
      <w:r w:rsidRPr="003E54B6">
        <w:rPr>
          <w:b/>
          <w:bCs/>
        </w:rPr>
        <w:t xml:space="preserve"> – </w:t>
      </w:r>
      <w:r>
        <w:rPr>
          <w:b/>
          <w:bCs/>
        </w:rPr>
        <w:t>J</w:t>
      </w:r>
      <w:r w:rsidRPr="003E54B6">
        <w:rPr>
          <w:b/>
          <w:bCs/>
        </w:rPr>
        <w:t xml:space="preserve"> </w:t>
      </w:r>
      <w:r w:rsidRPr="003E54B6">
        <w:t xml:space="preserve">maksymalna liczba punktów do zdobycia w tym kryterium – </w:t>
      </w:r>
      <w:r>
        <w:t xml:space="preserve">20 </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rPr>
          <w:b/>
          <w:bCs/>
        </w:rPr>
      </w:pPr>
      <w:r>
        <w:rPr>
          <w:b/>
          <w:bCs/>
        </w:rPr>
        <w:t>J= (</w:t>
      </w:r>
      <w:proofErr w:type="spellStart"/>
      <w:r>
        <w:rPr>
          <w:b/>
          <w:bCs/>
        </w:rPr>
        <w:t>Jof</w:t>
      </w:r>
      <w:proofErr w:type="spellEnd"/>
      <w:r>
        <w:rPr>
          <w:b/>
          <w:bCs/>
        </w:rPr>
        <w:t>/</w:t>
      </w:r>
      <w:proofErr w:type="spellStart"/>
      <w:r>
        <w:rPr>
          <w:b/>
          <w:bCs/>
        </w:rPr>
        <w:t>Jmax</w:t>
      </w:r>
      <w:proofErr w:type="spellEnd"/>
      <w:r>
        <w:rPr>
          <w:b/>
          <w:bCs/>
        </w:rPr>
        <w:t>) x 20</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sidRPr="003E54B6">
        <w:t xml:space="preserve">gdzie: </w:t>
      </w:r>
      <w:r>
        <w:t>J</w:t>
      </w:r>
      <w:r w:rsidRPr="003E54B6">
        <w:t xml:space="preserve"> - razem ilość punktów uzyskana przez ofertę badaną</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of</w:t>
      </w:r>
      <w:proofErr w:type="spellEnd"/>
      <w:r w:rsidRPr="003E54B6">
        <w:t xml:space="preserve"> –  </w:t>
      </w:r>
      <w:r>
        <w:t xml:space="preserve">ilość punktów </w:t>
      </w:r>
      <w:r w:rsidRPr="003E54B6">
        <w:t>z oferty badanej</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max</w:t>
      </w:r>
      <w:proofErr w:type="spellEnd"/>
      <w:r w:rsidRPr="003E54B6">
        <w:t xml:space="preserve"> – </w:t>
      </w:r>
      <w:r>
        <w:t>największa ilość punktów</w:t>
      </w:r>
      <w:r w:rsidRPr="003E54B6">
        <w:t xml:space="preserve"> spośród wszystkich ofert</w:t>
      </w:r>
    </w:p>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Pr="003E54B6" w:rsidRDefault="007C2317" w:rsidP="000F0F80">
            <w:pPr>
              <w:spacing w:line="360" w:lineRule="auto"/>
            </w:pPr>
            <w:r w:rsidRPr="003E54B6">
              <w:rPr>
                <w:b/>
                <w:bCs/>
              </w:rPr>
              <w:t xml:space="preserve">Gwarancja </w:t>
            </w:r>
            <w:r w:rsidR="004C5A53" w:rsidRPr="004C5A53">
              <w:rPr>
                <w:bCs/>
              </w:rPr>
              <w:t>(</w:t>
            </w:r>
            <w:r w:rsidR="007003CE">
              <w:rPr>
                <w:bCs/>
              </w:rPr>
              <w:t>min.12,</w:t>
            </w:r>
            <w:r w:rsidR="004C5A53" w:rsidRPr="004C5A53">
              <w:rPr>
                <w:bCs/>
              </w:rPr>
              <w:t xml:space="preserve"> max.</w:t>
            </w:r>
            <w:r w:rsidR="007003CE">
              <w:rPr>
                <w:bCs/>
              </w:rPr>
              <w:t>60</w:t>
            </w:r>
            <w:r w:rsidR="004C5A53" w:rsidRPr="004C5A53">
              <w:rPr>
                <w:bCs/>
              </w:rPr>
              <w:t xml:space="preserve"> miesi</w:t>
            </w:r>
            <w:r w:rsidR="007003CE">
              <w:rPr>
                <w:bCs/>
              </w:rPr>
              <w:t>ę</w:t>
            </w:r>
            <w:r w:rsidR="004C5A53" w:rsidRPr="004C5A53">
              <w:rPr>
                <w:bCs/>
              </w:rPr>
              <w:t>c</w:t>
            </w:r>
            <w:r w:rsidR="007003CE">
              <w:rPr>
                <w:bCs/>
              </w:rPr>
              <w:t>y</w:t>
            </w:r>
            <w:r w:rsidR="004C5A53" w:rsidRPr="004C5A53">
              <w:rPr>
                <w:bCs/>
              </w:rPr>
              <w:t>)</w:t>
            </w:r>
            <w:r w:rsidR="004C5A53">
              <w:rPr>
                <w:b/>
                <w:bCs/>
              </w:rPr>
              <w:t xml:space="preserve"> </w:t>
            </w:r>
            <w:r w:rsidRPr="003E54B6">
              <w:rPr>
                <w:b/>
                <w:bCs/>
              </w:rPr>
              <w:t xml:space="preserve">– G </w:t>
            </w:r>
            <w:r w:rsidRPr="003E54B6">
              <w:t xml:space="preserve">maksymalna liczba punktów do zdobycia w tym kryterium – </w:t>
            </w:r>
            <w:r w:rsidR="00653624">
              <w:t>1</w:t>
            </w:r>
            <w:r>
              <w:t>0</w:t>
            </w:r>
            <w:r w:rsidR="004C5A53">
              <w:t xml:space="preserve"> </w:t>
            </w:r>
          </w:p>
          <w:p w:rsidR="007C2317" w:rsidRPr="003E54B6" w:rsidRDefault="007C2317" w:rsidP="000F0F80">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653624">
              <w:rPr>
                <w:b/>
                <w:bCs/>
              </w:rPr>
              <w:t>1</w:t>
            </w:r>
            <w:r>
              <w:rPr>
                <w:b/>
                <w:bCs/>
              </w:rPr>
              <w:t>0</w:t>
            </w:r>
          </w:p>
          <w:p w:rsidR="007C2317" w:rsidRPr="003E54B6" w:rsidRDefault="007C2317" w:rsidP="000F0F80">
            <w:pPr>
              <w:spacing w:line="360" w:lineRule="auto"/>
            </w:pPr>
            <w:r w:rsidRPr="003E54B6">
              <w:t>gdzie: G - razem ilość punktów uzyskana przez ofertę badaną</w:t>
            </w:r>
          </w:p>
          <w:p w:rsidR="007C2317" w:rsidRPr="003E54B6" w:rsidRDefault="007C2317" w:rsidP="000F0F80">
            <w:pPr>
              <w:spacing w:line="360" w:lineRule="auto"/>
            </w:pPr>
            <w:r w:rsidRPr="003E54B6">
              <w:t xml:space="preserve">           - </w:t>
            </w:r>
            <w:proofErr w:type="spellStart"/>
            <w:r w:rsidRPr="003E54B6">
              <w:t>Gof</w:t>
            </w:r>
            <w:proofErr w:type="spellEnd"/>
            <w:r w:rsidRPr="003E54B6">
              <w:t xml:space="preserve"> –  okres gwarancji z oferty badanej</w:t>
            </w:r>
          </w:p>
          <w:p w:rsidR="007C2317" w:rsidRPr="003E54B6" w:rsidRDefault="007C2317" w:rsidP="000F0F80">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C2317" w:rsidRPr="003E54B6" w:rsidRDefault="007C2317" w:rsidP="000F0F80">
            <w:pPr>
              <w:jc w:val="center"/>
            </w:pPr>
          </w:p>
        </w:tc>
      </w:tr>
    </w:tbl>
    <w:p w:rsidR="007C2317" w:rsidRDefault="007C2317" w:rsidP="007C2317">
      <w:pPr>
        <w:ind w:left="360" w:hanging="360"/>
        <w:rPr>
          <w:b/>
          <w:bCs/>
        </w:rPr>
      </w:pPr>
    </w:p>
    <w:p w:rsidR="00DD1E03" w:rsidRPr="003E54B6" w:rsidRDefault="00653624" w:rsidP="00DD1E03">
      <w:pPr>
        <w:pBdr>
          <w:top w:val="single" w:sz="4" w:space="1" w:color="auto"/>
          <w:left w:val="single" w:sz="4" w:space="4" w:color="auto"/>
          <w:bottom w:val="single" w:sz="4" w:space="1" w:color="auto"/>
          <w:right w:val="single" w:sz="4" w:space="4" w:color="auto"/>
        </w:pBdr>
        <w:spacing w:line="360" w:lineRule="auto"/>
      </w:pPr>
      <w:r>
        <w:rPr>
          <w:b/>
          <w:bCs/>
        </w:rPr>
        <w:t>Serwis</w:t>
      </w:r>
      <w:r w:rsidR="00DD1E03" w:rsidRPr="003E54B6">
        <w:rPr>
          <w:b/>
          <w:bCs/>
        </w:rPr>
        <w:t xml:space="preserve"> – </w:t>
      </w:r>
      <w:r>
        <w:rPr>
          <w:b/>
          <w:bCs/>
        </w:rPr>
        <w:t>S</w:t>
      </w:r>
      <w:r w:rsidR="00DD1E03" w:rsidRPr="003E54B6">
        <w:rPr>
          <w:b/>
          <w:bCs/>
        </w:rPr>
        <w:t xml:space="preserve"> </w:t>
      </w:r>
      <w:r w:rsidR="00DD1E03" w:rsidRPr="003E54B6">
        <w:t xml:space="preserve">maksymalna liczba punktów do zdobycia w tym kryterium – </w:t>
      </w:r>
      <w:r>
        <w:t>1</w:t>
      </w:r>
      <w:r w:rsidR="00DD1E03">
        <w:t xml:space="preserve">0 </w:t>
      </w:r>
    </w:p>
    <w:p w:rsidR="00DD1E03" w:rsidRPr="003E54B6" w:rsidRDefault="00653624" w:rsidP="00DD1E03">
      <w:pPr>
        <w:pBdr>
          <w:top w:val="single" w:sz="4" w:space="1" w:color="auto"/>
          <w:left w:val="single" w:sz="4" w:space="4" w:color="auto"/>
          <w:bottom w:val="single" w:sz="4" w:space="1" w:color="auto"/>
          <w:right w:val="single" w:sz="4" w:space="4" w:color="auto"/>
        </w:pBdr>
        <w:spacing w:line="360" w:lineRule="auto"/>
        <w:rPr>
          <w:b/>
          <w:bCs/>
        </w:rPr>
      </w:pPr>
      <w:r>
        <w:rPr>
          <w:b/>
          <w:bCs/>
        </w:rPr>
        <w:t>S</w:t>
      </w:r>
      <w:r w:rsidR="00DD1E03">
        <w:rPr>
          <w:b/>
          <w:bCs/>
        </w:rPr>
        <w:t>= (</w:t>
      </w:r>
      <w:r>
        <w:rPr>
          <w:b/>
          <w:bCs/>
        </w:rPr>
        <w:t>S</w:t>
      </w:r>
      <w:r w:rsidR="00DD1E03">
        <w:rPr>
          <w:b/>
          <w:bCs/>
        </w:rPr>
        <w:t>of/</w:t>
      </w:r>
      <w:proofErr w:type="spellStart"/>
      <w:r>
        <w:rPr>
          <w:b/>
          <w:bCs/>
        </w:rPr>
        <w:t>S</w:t>
      </w:r>
      <w:r w:rsidR="00DD1E03">
        <w:rPr>
          <w:b/>
          <w:bCs/>
        </w:rPr>
        <w:t>max</w:t>
      </w:r>
      <w:proofErr w:type="spellEnd"/>
      <w:r w:rsidR="00DD1E03">
        <w:rPr>
          <w:b/>
          <w:bCs/>
        </w:rPr>
        <w:t xml:space="preserve">) x </w:t>
      </w:r>
      <w:r>
        <w:rPr>
          <w:b/>
          <w:bCs/>
        </w:rPr>
        <w:t>1</w:t>
      </w:r>
      <w:r w:rsidR="00DD1E03">
        <w:rPr>
          <w:b/>
          <w:bCs/>
        </w:rPr>
        <w:t>0</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gdzie: </w:t>
      </w:r>
      <w:r w:rsidR="00653624">
        <w:t>S</w:t>
      </w:r>
      <w:r w:rsidRPr="003E54B6">
        <w:t xml:space="preserve"> - razem ilość punktów uzyskana przez ofertę badaną</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           - </w:t>
      </w:r>
      <w:r w:rsidR="00653624">
        <w:t>S</w:t>
      </w:r>
      <w:r w:rsidRPr="003E54B6">
        <w:t xml:space="preserve">of –  </w:t>
      </w:r>
      <w:r>
        <w:t xml:space="preserve">ilość punktów </w:t>
      </w:r>
      <w:r w:rsidRPr="003E54B6">
        <w:t>z oferty badanej</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rsidR="00653624">
        <w:t>S</w:t>
      </w:r>
      <w:r w:rsidRPr="003E54B6">
        <w:t>max</w:t>
      </w:r>
      <w:proofErr w:type="spellEnd"/>
      <w:r w:rsidRPr="003E54B6">
        <w:t xml:space="preserve"> – </w:t>
      </w:r>
      <w:r>
        <w:t>największa ilość punktów</w:t>
      </w:r>
      <w:r w:rsidRPr="003E54B6">
        <w:t xml:space="preserve"> spośród wszystkich ofert</w:t>
      </w:r>
    </w:p>
    <w:p w:rsidR="007C2317" w:rsidRDefault="007C2317" w:rsidP="007C2317">
      <w:pPr>
        <w:ind w:left="360" w:hanging="360"/>
        <w:rPr>
          <w:b/>
          <w:bCs/>
        </w:rPr>
      </w:pPr>
    </w:p>
    <w:p w:rsidR="007C2317" w:rsidRDefault="007C2317" w:rsidP="007C2317">
      <w:pPr>
        <w:ind w:left="240" w:hanging="240"/>
      </w:pPr>
      <w:r>
        <w:t>Za najkorzystniejszą zostanie uznana oferta, która otrzyma  najwyższą liczbę punktów zgodnie z wzorem:</w:t>
      </w:r>
    </w:p>
    <w:p w:rsidR="007C2317" w:rsidRDefault="007C2317" w:rsidP="007C2317">
      <w:pPr>
        <w:jc w:val="center"/>
        <w:rPr>
          <w:b/>
          <w:bCs/>
        </w:rPr>
      </w:pPr>
      <w:r>
        <w:rPr>
          <w:b/>
          <w:bCs/>
        </w:rPr>
        <w:t>R= C+</w:t>
      </w:r>
      <w:r w:rsidR="00653624">
        <w:rPr>
          <w:b/>
          <w:bCs/>
        </w:rPr>
        <w:t>J+</w:t>
      </w:r>
      <w:r>
        <w:rPr>
          <w:b/>
          <w:bCs/>
        </w:rPr>
        <w:t>G</w:t>
      </w:r>
      <w:r w:rsidR="00653624">
        <w:rPr>
          <w:b/>
          <w:bCs/>
        </w:rPr>
        <w:t>+S</w:t>
      </w:r>
    </w:p>
    <w:p w:rsidR="007C2317" w:rsidRDefault="007C2317" w:rsidP="007C2317">
      <w:pPr>
        <w:ind w:left="360" w:hanging="360"/>
      </w:pPr>
      <w:r>
        <w:t>gdzie: R- razem ilość punktów uzyskana przez ofertę badaną</w:t>
      </w:r>
    </w:p>
    <w:p w:rsidR="007C2317" w:rsidRDefault="007C2317" w:rsidP="007C2317">
      <w:pPr>
        <w:ind w:left="360" w:hanging="360"/>
      </w:pPr>
      <w:r>
        <w:t xml:space="preserve">           C- ilość punktów uzyskana za cenę</w:t>
      </w:r>
    </w:p>
    <w:p w:rsidR="003133CE" w:rsidRDefault="003133CE" w:rsidP="007C2317">
      <w:pPr>
        <w:ind w:left="360" w:hanging="360"/>
      </w:pPr>
      <w:r>
        <w:tab/>
        <w:t xml:space="preserve">    J – ilość punktów uzyskana za jakość</w:t>
      </w:r>
    </w:p>
    <w:p w:rsidR="007C2317" w:rsidRDefault="007C2317" w:rsidP="007C2317">
      <w:pPr>
        <w:ind w:left="360" w:hanging="360"/>
      </w:pPr>
      <w:r>
        <w:t xml:space="preserve">           G- ilość punktów uzyskana za gwarancje</w:t>
      </w:r>
    </w:p>
    <w:p w:rsidR="003133CE" w:rsidRDefault="003133CE" w:rsidP="007C2317">
      <w:pPr>
        <w:ind w:left="360" w:hanging="360"/>
      </w:pPr>
      <w:r>
        <w:lastRenderedPageBreak/>
        <w:t xml:space="preserve">       S- ilość punktów uzyskana za serwis</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00DE02FB">
        <w:rPr>
          <w:i/>
          <w:iCs/>
        </w:rPr>
        <w:t xml:space="preserve"> z późn.</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653624" w:rsidRDefault="007C2317" w:rsidP="00653624">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653624">
      <w:pPr>
        <w:widowControl w:val="0"/>
        <w:autoSpaceDE w:val="0"/>
        <w:autoSpaceDN w:val="0"/>
        <w:adjustRightInd w:val="0"/>
        <w:spacing w:line="360" w:lineRule="auto"/>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p w:rsidR="00A9506E" w:rsidRDefault="00A9506E">
      <w:pPr>
        <w:widowControl w:val="0"/>
        <w:autoSpaceDE w:val="0"/>
        <w:jc w:val="both"/>
        <w:rPr>
          <w:b/>
          <w:bCs/>
          <w:sz w:val="32"/>
          <w:szCs w:val="32"/>
        </w:rPr>
      </w:pPr>
    </w:p>
    <w:sectPr w:rsidR="00A9506E" w:rsidSect="00653624">
      <w:headerReference w:type="default" r:id="rId8"/>
      <w:footerReference w:type="default" r:id="rId9"/>
      <w:pgSz w:w="11906" w:h="16838"/>
      <w:pgMar w:top="1417" w:right="1274"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7C4F29"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9.4pt;visibility:visible;mso-wrap-style:square">
          <v:imagedata r:id="rId1" o:title="FE_POIS_poziom_pl-1_rgb"/>
        </v:shape>
      </w:pict>
    </w:r>
    <w:r w:rsidR="00FD4B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87EF8"/>
    <w:rsid w:val="001D4B89"/>
    <w:rsid w:val="001E5F9E"/>
    <w:rsid w:val="00202273"/>
    <w:rsid w:val="00233324"/>
    <w:rsid w:val="002B71B7"/>
    <w:rsid w:val="002E1D65"/>
    <w:rsid w:val="002E6F1C"/>
    <w:rsid w:val="00310BB8"/>
    <w:rsid w:val="003133CE"/>
    <w:rsid w:val="00352D32"/>
    <w:rsid w:val="00355EA0"/>
    <w:rsid w:val="0036369E"/>
    <w:rsid w:val="003A0767"/>
    <w:rsid w:val="003C31BB"/>
    <w:rsid w:val="0040304A"/>
    <w:rsid w:val="00463C8F"/>
    <w:rsid w:val="004C5A53"/>
    <w:rsid w:val="00503D9E"/>
    <w:rsid w:val="00510D27"/>
    <w:rsid w:val="005166A2"/>
    <w:rsid w:val="005278F6"/>
    <w:rsid w:val="00535894"/>
    <w:rsid w:val="00543E41"/>
    <w:rsid w:val="005505C5"/>
    <w:rsid w:val="005540A0"/>
    <w:rsid w:val="00565152"/>
    <w:rsid w:val="005659F5"/>
    <w:rsid w:val="00567846"/>
    <w:rsid w:val="0057076A"/>
    <w:rsid w:val="00594EEC"/>
    <w:rsid w:val="005D56DE"/>
    <w:rsid w:val="006177B0"/>
    <w:rsid w:val="00646AD0"/>
    <w:rsid w:val="00646DD0"/>
    <w:rsid w:val="00653624"/>
    <w:rsid w:val="006A44DE"/>
    <w:rsid w:val="006B68F4"/>
    <w:rsid w:val="006D38FC"/>
    <w:rsid w:val="006E3A47"/>
    <w:rsid w:val="007003CE"/>
    <w:rsid w:val="00723FD4"/>
    <w:rsid w:val="00747533"/>
    <w:rsid w:val="007A162D"/>
    <w:rsid w:val="007C2317"/>
    <w:rsid w:val="007C4F29"/>
    <w:rsid w:val="007F5543"/>
    <w:rsid w:val="0080138E"/>
    <w:rsid w:val="00862FCC"/>
    <w:rsid w:val="00863D5C"/>
    <w:rsid w:val="008E1A01"/>
    <w:rsid w:val="009465F1"/>
    <w:rsid w:val="009607C8"/>
    <w:rsid w:val="009B6516"/>
    <w:rsid w:val="009F4E84"/>
    <w:rsid w:val="00A40B85"/>
    <w:rsid w:val="00A610E6"/>
    <w:rsid w:val="00A7731E"/>
    <w:rsid w:val="00A8372C"/>
    <w:rsid w:val="00A9506E"/>
    <w:rsid w:val="00AA1A3F"/>
    <w:rsid w:val="00AC68B4"/>
    <w:rsid w:val="00B07282"/>
    <w:rsid w:val="00B14259"/>
    <w:rsid w:val="00B158BD"/>
    <w:rsid w:val="00B210CB"/>
    <w:rsid w:val="00B33AE8"/>
    <w:rsid w:val="00B752E9"/>
    <w:rsid w:val="00BD4253"/>
    <w:rsid w:val="00BE2E3C"/>
    <w:rsid w:val="00C228E9"/>
    <w:rsid w:val="00C30804"/>
    <w:rsid w:val="00C3544A"/>
    <w:rsid w:val="00C56675"/>
    <w:rsid w:val="00C82EC3"/>
    <w:rsid w:val="00CA23DE"/>
    <w:rsid w:val="00CB3F07"/>
    <w:rsid w:val="00CB4751"/>
    <w:rsid w:val="00CC2DC4"/>
    <w:rsid w:val="00CF54E3"/>
    <w:rsid w:val="00D34267"/>
    <w:rsid w:val="00D74BA2"/>
    <w:rsid w:val="00DC5AF0"/>
    <w:rsid w:val="00DD1E03"/>
    <w:rsid w:val="00DE02FB"/>
    <w:rsid w:val="00E45C11"/>
    <w:rsid w:val="00E83A6B"/>
    <w:rsid w:val="00EB21C0"/>
    <w:rsid w:val="00EB3B58"/>
    <w:rsid w:val="00EB7721"/>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1D350C8F"/>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9</Pages>
  <Words>3808</Words>
  <Characters>22850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59</cp:revision>
  <cp:lastPrinted>2019-05-08T09:41:00Z</cp:lastPrinted>
  <dcterms:created xsi:type="dcterms:W3CDTF">2018-05-25T07:52:00Z</dcterms:created>
  <dcterms:modified xsi:type="dcterms:W3CDTF">2019-05-08T09:41:00Z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