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4C5A53"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9F4E84">
        <w:rPr>
          <w:b/>
          <w:bCs/>
        </w:rPr>
        <w:t>57</w:t>
      </w:r>
      <w:r>
        <w:rPr>
          <w:b/>
          <w:bCs/>
        </w:rPr>
        <w:t>/18/UE/DDOM</w:t>
      </w:r>
      <w:r>
        <w:rPr>
          <w:b/>
          <w:bCs/>
        </w:rPr>
        <w:tab/>
        <w:t xml:space="preserve">         Brzesko </w:t>
      </w:r>
      <w:r w:rsidR="00B14259">
        <w:rPr>
          <w:b/>
          <w:bCs/>
        </w:rPr>
        <w:t>1</w:t>
      </w:r>
      <w:r w:rsidR="009F4E84">
        <w:rPr>
          <w:b/>
          <w:bCs/>
        </w:rPr>
        <w:t>1</w:t>
      </w:r>
      <w:r>
        <w:rPr>
          <w:b/>
          <w:bCs/>
        </w:rPr>
        <w:t>.</w:t>
      </w:r>
      <w:r w:rsidR="0040304A">
        <w:rPr>
          <w:b/>
          <w:bCs/>
        </w:rPr>
        <w:t>12</w:t>
      </w:r>
      <w:r>
        <w:rPr>
          <w:b/>
          <w:bCs/>
        </w:rPr>
        <w:t>.2018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na dostawę:  Mebli biurowych</w:t>
      </w:r>
      <w:r w:rsidR="00355EA0">
        <w:rPr>
          <w:b/>
          <w:bCs/>
          <w:sz w:val="28"/>
          <w:szCs w:val="28"/>
        </w:rPr>
        <w:t>, wyposażenia biurowego i domowego</w:t>
      </w:r>
    </w:p>
    <w:p w:rsidR="007C2317" w:rsidRDefault="007C2317" w:rsidP="007C2317"/>
    <w:p w:rsidR="007C2317" w:rsidRDefault="007C2317" w:rsidP="007C2317"/>
    <w:p w:rsidR="007C2317" w:rsidRPr="004E7D12" w:rsidRDefault="007C2317" w:rsidP="007C2317">
      <w:r>
        <w:t>CPV 39</w:t>
      </w:r>
      <w:r w:rsidR="00355EA0">
        <w:t xml:space="preserve">150000-8 Różne meble i wyposażenie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 xml:space="preserve">dostawę: </w:t>
      </w:r>
      <w:r w:rsidRPr="006C2ADE">
        <w:rPr>
          <w:b/>
          <w:bCs/>
        </w:rPr>
        <w:t>„</w:t>
      </w:r>
      <w:r>
        <w:rPr>
          <w:b/>
          <w:bCs/>
        </w:rPr>
        <w:t xml:space="preserve">Wideokolonoskopu – 1 </w:t>
      </w:r>
      <w:proofErr w:type="spellStart"/>
      <w:r>
        <w:rPr>
          <w:b/>
          <w:bCs/>
        </w:rPr>
        <w:t>szt</w:t>
      </w:r>
      <w:proofErr w:type="spellEnd"/>
      <w:r w:rsidRPr="006C2ADE">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7C2317">
      <w:pPr>
        <w:ind w:left="567" w:hanging="567"/>
        <w:jc w:val="both"/>
        <w:rPr>
          <w:b/>
          <w:bCs/>
          <w:color w:val="000000"/>
        </w:rPr>
      </w:pPr>
      <w:bookmarkStart w:id="1" w:name="_Hlk504719007"/>
      <w:r>
        <w:rPr>
          <w:b/>
        </w:rPr>
        <w:t>1)</w:t>
      </w:r>
      <w:r>
        <w:rPr>
          <w:b/>
        </w:rPr>
        <w:tab/>
      </w:r>
      <w:r w:rsidRPr="004448F2">
        <w:rPr>
          <w:b/>
        </w:rPr>
        <w:t xml:space="preserve">Przedmiotem zamówienia jest dostawa </w:t>
      </w:r>
      <w:bookmarkEnd w:id="1"/>
      <w:r>
        <w:rPr>
          <w:b/>
        </w:rPr>
        <w:t>mebli biurowych</w:t>
      </w:r>
      <w:r w:rsidR="00355EA0">
        <w:rPr>
          <w:b/>
        </w:rPr>
        <w:t>, wyposażenia domowego i biurowego,</w:t>
      </w:r>
      <w:r>
        <w:rPr>
          <w:b/>
        </w:rPr>
        <w:t xml:space="preserve"> przeznaczonych na wyposażenie Dziennego Domu Opieki Medycznej </w:t>
      </w:r>
      <w:r w:rsidR="00A610E6">
        <w:rPr>
          <w:b/>
        </w:rPr>
        <w:t xml:space="preserve">dla osób niesamodzielnych w tym starszych. </w:t>
      </w:r>
    </w:p>
    <w:p w:rsidR="00355EA0" w:rsidRDefault="007C2317" w:rsidP="00A610E6">
      <w:pPr>
        <w:tabs>
          <w:tab w:val="left" w:pos="567"/>
        </w:tabs>
        <w:autoSpaceDE w:val="0"/>
        <w:autoSpaceDN w:val="0"/>
        <w:adjustRightInd w:val="0"/>
      </w:pPr>
      <w:r>
        <w:t>2)</w:t>
      </w:r>
      <w:r>
        <w:tab/>
      </w:r>
      <w:r w:rsidR="00355EA0">
        <w:t>Przedmiot zamówienia został podzielony na zadania:</w:t>
      </w:r>
    </w:p>
    <w:p w:rsidR="00355EA0" w:rsidRDefault="00355EA0" w:rsidP="00A610E6">
      <w:pPr>
        <w:tabs>
          <w:tab w:val="left" w:pos="567"/>
        </w:tabs>
        <w:autoSpaceDE w:val="0"/>
        <w:autoSpaceDN w:val="0"/>
        <w:adjustRightInd w:val="0"/>
      </w:pPr>
      <w:r>
        <w:t xml:space="preserve"> </w:t>
      </w:r>
      <w:r>
        <w:tab/>
        <w:t>Zadanie nr: 1 – kod CPV 39141300-5 Szafy BHP;</w:t>
      </w:r>
    </w:p>
    <w:p w:rsidR="00355EA0" w:rsidRDefault="00355EA0" w:rsidP="00A610E6">
      <w:pPr>
        <w:tabs>
          <w:tab w:val="left" w:pos="567"/>
        </w:tabs>
        <w:autoSpaceDE w:val="0"/>
        <w:autoSpaceDN w:val="0"/>
        <w:adjustRightInd w:val="0"/>
      </w:pPr>
      <w:r>
        <w:tab/>
        <w:t>Zadanie nr: 2 – kod CPV 39113000-7 Różne siedziska i krzesła;</w:t>
      </w:r>
    </w:p>
    <w:p w:rsidR="00355EA0" w:rsidRDefault="00355EA0" w:rsidP="00A610E6">
      <w:pPr>
        <w:tabs>
          <w:tab w:val="left" w:pos="567"/>
        </w:tabs>
        <w:autoSpaceDE w:val="0"/>
        <w:autoSpaceDN w:val="0"/>
        <w:adjustRightInd w:val="0"/>
      </w:pPr>
      <w:r>
        <w:tab/>
        <w:t>Zadanie nr: 3 – kod CPV 39141100-3 Regały;</w:t>
      </w:r>
    </w:p>
    <w:p w:rsidR="00355EA0" w:rsidRDefault="00355EA0" w:rsidP="00A610E6">
      <w:pPr>
        <w:tabs>
          <w:tab w:val="left" w:pos="567"/>
        </w:tabs>
        <w:autoSpaceDE w:val="0"/>
        <w:autoSpaceDN w:val="0"/>
        <w:adjustRightInd w:val="0"/>
      </w:pPr>
      <w:r>
        <w:tab/>
        <w:t>Zadanie nr: 4 – kod CPV 39130000-2 Meble biurowe;</w:t>
      </w:r>
    </w:p>
    <w:p w:rsidR="00355EA0" w:rsidRDefault="00355EA0" w:rsidP="00A610E6">
      <w:pPr>
        <w:tabs>
          <w:tab w:val="left" w:pos="567"/>
        </w:tabs>
        <w:autoSpaceDE w:val="0"/>
        <w:autoSpaceDN w:val="0"/>
        <w:adjustRightInd w:val="0"/>
      </w:pPr>
      <w:r>
        <w:tab/>
        <w:t>Zadanie nr: 5 – kod CPV 39200000-4 Wyposażenie domowe;</w:t>
      </w:r>
    </w:p>
    <w:p w:rsidR="00355EA0" w:rsidRDefault="00355EA0" w:rsidP="00A610E6">
      <w:pPr>
        <w:tabs>
          <w:tab w:val="left" w:pos="567"/>
        </w:tabs>
        <w:autoSpaceDE w:val="0"/>
        <w:autoSpaceDN w:val="0"/>
        <w:adjustRightInd w:val="0"/>
      </w:pPr>
      <w:r>
        <w:tab/>
        <w:t>Zadanie nr: 6 – kod CPV 39512000-4 Bielizna pościelowa;</w:t>
      </w:r>
    </w:p>
    <w:p w:rsidR="00DC5AF0" w:rsidRDefault="00DC5AF0" w:rsidP="00DC5AF0">
      <w:pPr>
        <w:tabs>
          <w:tab w:val="left" w:pos="567"/>
        </w:tabs>
        <w:autoSpaceDE w:val="0"/>
        <w:autoSpaceDN w:val="0"/>
        <w:adjustRightInd w:val="0"/>
      </w:pPr>
      <w:r>
        <w:tab/>
        <w:t>Zadanie nr: 7 – kod CPV</w:t>
      </w:r>
      <w:r w:rsidR="008E1A01">
        <w:t xml:space="preserve"> 30190000-7 Różny sprzęt i artykuły biurowe;</w:t>
      </w:r>
    </w:p>
    <w:p w:rsidR="00355EA0" w:rsidRDefault="00355EA0" w:rsidP="00A610E6">
      <w:pPr>
        <w:tabs>
          <w:tab w:val="left" w:pos="567"/>
        </w:tabs>
        <w:autoSpaceDE w:val="0"/>
        <w:autoSpaceDN w:val="0"/>
        <w:adjustRightInd w:val="0"/>
      </w:pPr>
      <w:r>
        <w:tab/>
        <w:t xml:space="preserve">Zadanie nr: </w:t>
      </w:r>
      <w:r w:rsidR="008E1A01">
        <w:t>8</w:t>
      </w:r>
      <w:r>
        <w:t xml:space="preserve"> – kod CPV 3</w:t>
      </w:r>
      <w:r w:rsidR="00DC5AF0">
        <w:t>9221100-8</w:t>
      </w:r>
      <w:r>
        <w:t xml:space="preserve"> </w:t>
      </w:r>
      <w:r w:rsidR="00DC5AF0">
        <w:t>Zastawa kuchenna</w:t>
      </w:r>
      <w:r>
        <w:t>;</w:t>
      </w:r>
    </w:p>
    <w:p w:rsidR="00355EA0" w:rsidRDefault="00233324" w:rsidP="00A610E6">
      <w:pPr>
        <w:tabs>
          <w:tab w:val="left" w:pos="567"/>
        </w:tabs>
        <w:autoSpaceDE w:val="0"/>
        <w:autoSpaceDN w:val="0"/>
        <w:adjustRightInd w:val="0"/>
      </w:pPr>
      <w:r>
        <w:tab/>
        <w:t>Zadanie nr: 9 – kod CPV 39700000-9 Sprzęt gospodarstwa domowego.</w:t>
      </w:r>
    </w:p>
    <w:p w:rsidR="00233324" w:rsidRDefault="00233324" w:rsidP="00A610E6">
      <w:pPr>
        <w:tabs>
          <w:tab w:val="left" w:pos="567"/>
        </w:tabs>
        <w:autoSpaceDE w:val="0"/>
        <w:autoSpaceDN w:val="0"/>
        <w:adjustRightInd w:val="0"/>
      </w:pPr>
    </w:p>
    <w:p w:rsidR="007C2317" w:rsidRDefault="008E1A01" w:rsidP="00A610E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30 dni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lastRenderedPageBreak/>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lastRenderedPageBreak/>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w:t>
      </w:r>
      <w:r w:rsidRPr="00987D23">
        <w:lastRenderedPageBreak/>
        <w:t xml:space="preserve">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C228E9">
      <w:pPr>
        <w:widowControl w:val="0"/>
        <w:numPr>
          <w:ilvl w:val="0"/>
          <w:numId w:val="9"/>
        </w:numPr>
        <w:suppressAutoHyphens w:val="0"/>
        <w:autoSpaceDE w:val="0"/>
        <w:autoSpaceDN w:val="0"/>
        <w:adjustRightInd w:val="0"/>
        <w:ind w:firstLine="441"/>
        <w:jc w:val="both"/>
      </w:pPr>
      <w:r>
        <w:t>ma charakter techniczny, technologiczny lub organizacyjny przedsiębiorstwa,</w:t>
      </w:r>
    </w:p>
    <w:p w:rsidR="007C2317" w:rsidRDefault="007C2317" w:rsidP="00C228E9">
      <w:pPr>
        <w:widowControl w:val="0"/>
        <w:numPr>
          <w:ilvl w:val="0"/>
          <w:numId w:val="9"/>
        </w:numPr>
        <w:suppressAutoHyphens w:val="0"/>
        <w:autoSpaceDE w:val="0"/>
        <w:autoSpaceDN w:val="0"/>
        <w:adjustRightInd w:val="0"/>
        <w:ind w:firstLine="441"/>
        <w:jc w:val="both"/>
      </w:pPr>
      <w:r>
        <w:t>nie została wykorzystana do wiadomości publicznej,</w:t>
      </w:r>
    </w:p>
    <w:p w:rsidR="007C2317" w:rsidRDefault="007C2317" w:rsidP="00C228E9">
      <w:pPr>
        <w:widowControl w:val="0"/>
        <w:numPr>
          <w:ilvl w:val="0"/>
          <w:numId w:val="9"/>
        </w:numPr>
        <w:suppressAutoHyphens w:val="0"/>
        <w:autoSpaceDE w:val="0"/>
        <w:autoSpaceDN w:val="0"/>
        <w:adjustRightInd w:val="0"/>
        <w:ind w:firstLine="441"/>
        <w:jc w:val="both"/>
      </w:pPr>
      <w:r>
        <w:t>podjęto w stosunku do niej niezbędne działania w celu zachowania poufałości.</w:t>
      </w:r>
    </w:p>
    <w:p w:rsidR="007C2317" w:rsidRPr="00666FB9" w:rsidRDefault="007C2317" w:rsidP="00C228E9">
      <w:pPr>
        <w:widowControl w:val="0"/>
        <w:numPr>
          <w:ilvl w:val="0"/>
          <w:numId w:val="9"/>
        </w:numPr>
        <w:suppressAutoHyphens w:val="0"/>
        <w:autoSpaceDE w:val="0"/>
        <w:autoSpaceDN w:val="0"/>
        <w:adjustRightInd w:val="0"/>
        <w:ind w:firstLine="441"/>
        <w:jc w:val="both"/>
      </w:pPr>
      <w:r>
        <w:t xml:space="preserve">Wykonawca nie może zastrzec informacji, o których mowa w art. 86 ust.4 ustawy </w:t>
      </w:r>
      <w:proofErr w:type="spellStart"/>
      <w:r>
        <w:t>Pzp</w:t>
      </w:r>
      <w:proofErr w:type="spellEnd"/>
      <w:r>
        <w:t>.</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5166A2" w:rsidRPr="009F4E84">
        <w:rPr>
          <w:b/>
          <w:color w:val="000000"/>
        </w:rPr>
        <w:t>2</w:t>
      </w:r>
      <w:r w:rsidR="00A610E6">
        <w:rPr>
          <w:b/>
          <w:color w:val="000000"/>
        </w:rPr>
        <w:t>1</w:t>
      </w:r>
      <w:r w:rsidRPr="00FE1475">
        <w:rPr>
          <w:b/>
          <w:color w:val="000000"/>
        </w:rPr>
        <w:t>.</w:t>
      </w:r>
      <w:r w:rsidR="00A610E6">
        <w:rPr>
          <w:b/>
          <w:color w:val="000000"/>
        </w:rPr>
        <w:t>12</w:t>
      </w:r>
      <w:r w:rsidRPr="00987D23">
        <w:rPr>
          <w:b/>
          <w:bCs/>
          <w:color w:val="000000"/>
        </w:rPr>
        <w:t>.201</w:t>
      </w:r>
      <w:r>
        <w:rPr>
          <w:b/>
          <w:bCs/>
          <w:color w:val="000000"/>
        </w:rPr>
        <w:t xml:space="preserve">8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5166A2">
        <w:rPr>
          <w:b/>
          <w:bCs/>
          <w:color w:val="000000"/>
        </w:rPr>
        <w:t>2</w:t>
      </w:r>
      <w:r w:rsidR="00A610E6">
        <w:rPr>
          <w:b/>
          <w:bCs/>
          <w:color w:val="000000"/>
        </w:rPr>
        <w:t>1</w:t>
      </w:r>
      <w:r>
        <w:rPr>
          <w:b/>
          <w:bCs/>
          <w:color w:val="000000"/>
        </w:rPr>
        <w:t>.</w:t>
      </w:r>
      <w:r w:rsidR="00A610E6">
        <w:rPr>
          <w:b/>
          <w:bCs/>
          <w:color w:val="000000"/>
        </w:rPr>
        <w:t>12</w:t>
      </w:r>
      <w:r>
        <w:rPr>
          <w:b/>
          <w:bCs/>
          <w:color w:val="000000"/>
        </w:rPr>
        <w:t xml:space="preserve">.2018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lastRenderedPageBreak/>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40304A">
        <w:rPr>
          <w:b/>
          <w:bCs/>
          <w:color w:val="000000"/>
        </w:rPr>
        <w:t>4</w:t>
      </w:r>
      <w:r>
        <w:rPr>
          <w:b/>
          <w:bCs/>
          <w:color w:val="000000"/>
        </w:rPr>
        <w:t>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lastRenderedPageBreak/>
        <w:t xml:space="preserve">                        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0F0F80">
            <w:pPr>
              <w:spacing w:line="360" w:lineRule="auto"/>
            </w:pPr>
            <w:r w:rsidRPr="003E54B6">
              <w:rPr>
                <w:b/>
                <w:bCs/>
              </w:rPr>
              <w:t xml:space="preserve">Gwarancja </w:t>
            </w:r>
            <w:r w:rsidR="004C5A53" w:rsidRPr="004C5A53">
              <w:rPr>
                <w:bCs/>
              </w:rPr>
              <w:t>( max.84 miesiące)</w:t>
            </w:r>
            <w:r w:rsidR="004C5A53">
              <w:rPr>
                <w:b/>
                <w:bCs/>
              </w:rPr>
              <w:t xml:space="preserve"> </w:t>
            </w:r>
            <w:r w:rsidRPr="003E54B6">
              <w:rPr>
                <w:b/>
                <w:bCs/>
              </w:rPr>
              <w:t xml:space="preserve">– G </w:t>
            </w:r>
            <w:r w:rsidRPr="003E54B6">
              <w:t xml:space="preserve">maksymalna liczba punktów do zdobycia w tym kryterium – </w:t>
            </w:r>
            <w:r w:rsidR="0040304A">
              <w:t>4</w:t>
            </w:r>
            <w:r>
              <w:t>0</w:t>
            </w:r>
            <w:r w:rsidR="004C5A53">
              <w:t xml:space="preserve"> </w:t>
            </w:r>
          </w:p>
          <w:p w:rsidR="007C2317" w:rsidRPr="003E54B6" w:rsidRDefault="007C2317" w:rsidP="000F0F80">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40304A">
              <w:rPr>
                <w:b/>
                <w:bCs/>
              </w:rPr>
              <w:t>4</w:t>
            </w:r>
            <w:r>
              <w:rPr>
                <w:b/>
                <w:bCs/>
              </w:rPr>
              <w:t>0</w:t>
            </w:r>
            <w:bookmarkStart w:id="2" w:name="_GoBack"/>
            <w:bookmarkEnd w:id="2"/>
          </w:p>
          <w:p w:rsidR="007C2317" w:rsidRPr="003E54B6" w:rsidRDefault="007C2317" w:rsidP="000F0F80">
            <w:pPr>
              <w:spacing w:line="360" w:lineRule="auto"/>
            </w:pPr>
            <w:r w:rsidRPr="003E54B6">
              <w:t>gdzie: G - razem ilość punktów uzyskana przez ofertę badaną</w:t>
            </w:r>
          </w:p>
          <w:p w:rsidR="007C2317" w:rsidRPr="003E54B6" w:rsidRDefault="007C2317" w:rsidP="000F0F80">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0F0F80">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7C2317" w:rsidP="000F0F80">
            <w:pPr>
              <w:jc w:val="center"/>
            </w:pPr>
          </w:p>
        </w:tc>
      </w:tr>
    </w:tbl>
    <w:p w:rsidR="007C2317" w:rsidRDefault="007C2317" w:rsidP="007C2317">
      <w:pPr>
        <w:ind w:left="360" w:hanging="360"/>
        <w:rPr>
          <w:b/>
          <w:bCs/>
        </w:rPr>
      </w:pPr>
    </w:p>
    <w:p w:rsidR="007C2317" w:rsidRDefault="007C2317" w:rsidP="007C2317">
      <w:pPr>
        <w:ind w:left="360" w:hanging="360"/>
        <w:rPr>
          <w:b/>
          <w:bCs/>
        </w:rPr>
      </w:pPr>
    </w:p>
    <w:p w:rsidR="007C2317" w:rsidRDefault="007C2317" w:rsidP="007C2317">
      <w:pPr>
        <w:ind w:left="360" w:hanging="360"/>
        <w:rPr>
          <w:b/>
          <w:bCs/>
        </w:rPr>
      </w:pPr>
    </w:p>
    <w:p w:rsidR="007C2317" w:rsidRDefault="007C2317" w:rsidP="007C2317">
      <w:pPr>
        <w:ind w:left="240" w:hanging="240"/>
      </w:pPr>
      <w:r>
        <w:t>Za najkorzystniejszą zostanie uznana oferta, która otrzyma  najwyższą liczbę punktów zgodnie z wzorem:</w:t>
      </w:r>
    </w:p>
    <w:p w:rsidR="007C2317" w:rsidRDefault="007C2317" w:rsidP="007C2317">
      <w:pPr>
        <w:jc w:val="center"/>
        <w:rPr>
          <w:b/>
          <w:bCs/>
        </w:rPr>
      </w:pPr>
      <w:r>
        <w:rPr>
          <w:b/>
          <w:bCs/>
        </w:rPr>
        <w:t>R= C+G</w:t>
      </w:r>
    </w:p>
    <w:p w:rsidR="007C2317" w:rsidRDefault="007C2317" w:rsidP="007C2317">
      <w:pPr>
        <w:ind w:left="360" w:hanging="360"/>
      </w:pPr>
      <w:r>
        <w:t>gdzie: R- razem ilość punktów uzyskana przez ofertę badaną</w:t>
      </w:r>
    </w:p>
    <w:p w:rsidR="007C2317" w:rsidRDefault="007C2317" w:rsidP="007C2317">
      <w:pPr>
        <w:ind w:left="360" w:hanging="360"/>
      </w:pPr>
      <w:r>
        <w:t xml:space="preserve">           C- ilość punktów uzyskana za cenę</w:t>
      </w:r>
    </w:p>
    <w:p w:rsidR="007C2317" w:rsidRDefault="007C2317" w:rsidP="007C2317">
      <w:pPr>
        <w:ind w:left="360" w:hanging="360"/>
      </w:pPr>
      <w:r>
        <w:t xml:space="preserve">           G- ilość punktów uzyskana za gwarancje</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lastRenderedPageBreak/>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543E41">
      <w:headerReference w:type="default" r:id="rId8"/>
      <w:footerReference w:type="default" r:id="rId9"/>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4C5A53"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FD4B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52D32"/>
    <w:rsid w:val="00355EA0"/>
    <w:rsid w:val="003A0767"/>
    <w:rsid w:val="0040304A"/>
    <w:rsid w:val="004C5A53"/>
    <w:rsid w:val="00503D9E"/>
    <w:rsid w:val="005166A2"/>
    <w:rsid w:val="005278F6"/>
    <w:rsid w:val="00535894"/>
    <w:rsid w:val="00543E41"/>
    <w:rsid w:val="005505C5"/>
    <w:rsid w:val="005540A0"/>
    <w:rsid w:val="00565152"/>
    <w:rsid w:val="005659F5"/>
    <w:rsid w:val="0057076A"/>
    <w:rsid w:val="005D56DE"/>
    <w:rsid w:val="006177B0"/>
    <w:rsid w:val="00646AD0"/>
    <w:rsid w:val="00646DD0"/>
    <w:rsid w:val="006B68F4"/>
    <w:rsid w:val="006D38FC"/>
    <w:rsid w:val="006E3A47"/>
    <w:rsid w:val="00723FD4"/>
    <w:rsid w:val="00747533"/>
    <w:rsid w:val="007A162D"/>
    <w:rsid w:val="007C2317"/>
    <w:rsid w:val="007F5543"/>
    <w:rsid w:val="0080138E"/>
    <w:rsid w:val="00862FCC"/>
    <w:rsid w:val="00863D5C"/>
    <w:rsid w:val="008E1A01"/>
    <w:rsid w:val="009465F1"/>
    <w:rsid w:val="009607C8"/>
    <w:rsid w:val="009B6516"/>
    <w:rsid w:val="009F4E84"/>
    <w:rsid w:val="00A40B85"/>
    <w:rsid w:val="00A610E6"/>
    <w:rsid w:val="00A7731E"/>
    <w:rsid w:val="00A8372C"/>
    <w:rsid w:val="00AC68B4"/>
    <w:rsid w:val="00B07282"/>
    <w:rsid w:val="00B14259"/>
    <w:rsid w:val="00B158BD"/>
    <w:rsid w:val="00B210CB"/>
    <w:rsid w:val="00B752E9"/>
    <w:rsid w:val="00BD4253"/>
    <w:rsid w:val="00BE2E3C"/>
    <w:rsid w:val="00C228E9"/>
    <w:rsid w:val="00C30804"/>
    <w:rsid w:val="00C3544A"/>
    <w:rsid w:val="00C56675"/>
    <w:rsid w:val="00C82EC3"/>
    <w:rsid w:val="00CB3F07"/>
    <w:rsid w:val="00CB4751"/>
    <w:rsid w:val="00CC2DC4"/>
    <w:rsid w:val="00CF54E3"/>
    <w:rsid w:val="00D34267"/>
    <w:rsid w:val="00D74BA2"/>
    <w:rsid w:val="00DC5AF0"/>
    <w:rsid w:val="00E45C11"/>
    <w:rsid w:val="00E83A6B"/>
    <w:rsid w:val="00EB21C0"/>
    <w:rsid w:val="00EB7721"/>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74712D92"/>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Pages>
  <Words>3689</Words>
  <Characters>22140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48</cp:revision>
  <cp:lastPrinted>2019-01-07T07:48:00Z</cp:lastPrinted>
  <dcterms:created xsi:type="dcterms:W3CDTF">2018-05-25T07:52:00Z</dcterms:created>
  <dcterms:modified xsi:type="dcterms:W3CDTF">2019-01-07T07:53:00Z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